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A31A4" w14:textId="758DF1C4" w:rsidR="006B3DCC" w:rsidRPr="001D15F6" w:rsidRDefault="006B3DCC" w:rsidP="00E543D6">
      <w:pPr>
        <w:ind w:left="-227"/>
        <w:rPr>
          <w:rFonts w:ascii="Times New Roman" w:hAnsi="Times New Roman" w:cs="Times New Roman"/>
          <w:b/>
          <w:bCs/>
        </w:rPr>
      </w:pPr>
      <w:r w:rsidRPr="001D15F6">
        <w:rPr>
          <w:rFonts w:ascii="Times New Roman" w:hAnsi="Times New Roman" w:cs="Times New Roman"/>
          <w:b/>
          <w:bCs/>
        </w:rPr>
        <w:t>INAUGURATA LA MOSTRA PER IL CENTENARIO</w:t>
      </w:r>
      <w:r w:rsidR="00E543D6" w:rsidRPr="001D15F6">
        <w:rPr>
          <w:rFonts w:ascii="Times New Roman" w:hAnsi="Times New Roman" w:cs="Times New Roman"/>
          <w:b/>
          <w:bCs/>
        </w:rPr>
        <w:br/>
      </w:r>
      <w:r w:rsidRPr="001D15F6">
        <w:rPr>
          <w:rFonts w:ascii="Times New Roman" w:hAnsi="Times New Roman" w:cs="Times New Roman"/>
          <w:b/>
          <w:bCs/>
        </w:rPr>
        <w:t>DEGLI AMICI DI BRERA</w:t>
      </w:r>
    </w:p>
    <w:p w14:paraId="0DDEBBE8" w14:textId="03D988DE" w:rsidR="006B3DCC" w:rsidRPr="001D15F6" w:rsidRDefault="006B3DCC" w:rsidP="00E543D6">
      <w:pPr>
        <w:ind w:left="-227"/>
        <w:rPr>
          <w:rFonts w:ascii="Times New Roman" w:hAnsi="Times New Roman" w:cs="Times New Roman"/>
          <w:sz w:val="20"/>
          <w:szCs w:val="20"/>
        </w:rPr>
      </w:pPr>
      <w:r w:rsidRPr="001D15F6">
        <w:rPr>
          <w:rFonts w:ascii="Times New Roman" w:hAnsi="Times New Roman" w:cs="Times New Roman"/>
          <w:b/>
          <w:bCs/>
          <w:sz w:val="20"/>
          <w:szCs w:val="20"/>
        </w:rPr>
        <w:t>TRA COLLABORAZIONI AVVIATE, RESTAURI E SIGNIFICATIVE PUBBLICAZIONI: PRESENTATO IL PROGRAMMA DI INIZIATIVE PER L'AUTUNNO 2026 E IL 2027.</w:t>
      </w:r>
    </w:p>
    <w:p w14:paraId="46FC29EF" w14:textId="77777777" w:rsidR="00A82892" w:rsidRDefault="00A82892" w:rsidP="00E543D6">
      <w:pPr>
        <w:ind w:left="-227"/>
        <w:jc w:val="both"/>
        <w:rPr>
          <w:rFonts w:ascii="Times New Roman" w:hAnsi="Times New Roman" w:cs="Times New Roman"/>
          <w:b/>
          <w:bCs/>
          <w:sz w:val="20"/>
          <w:szCs w:val="20"/>
        </w:rPr>
      </w:pPr>
    </w:p>
    <w:p w14:paraId="556DCF96" w14:textId="477FC01E" w:rsidR="00A82892" w:rsidRPr="00A82892" w:rsidRDefault="00A82892" w:rsidP="00A82892">
      <w:pPr>
        <w:ind w:left="-227"/>
        <w:jc w:val="both"/>
        <w:rPr>
          <w:rFonts w:ascii="Times New Roman" w:hAnsi="Times New Roman" w:cs="Times New Roman"/>
          <w:sz w:val="20"/>
          <w:szCs w:val="20"/>
        </w:rPr>
      </w:pPr>
      <w:hyperlink r:id="rId9" w:history="1">
        <w:r w:rsidRPr="00A82892">
          <w:rPr>
            <w:rStyle w:val="Collegamentoipertestuale"/>
            <w:rFonts w:ascii="Times New Roman" w:hAnsi="Times New Roman" w:cs="Times New Roman"/>
            <w:sz w:val="20"/>
            <w:szCs w:val="20"/>
          </w:rPr>
          <w:t>CARTELLA IMMAGINI</w:t>
        </w:r>
      </w:hyperlink>
    </w:p>
    <w:p w14:paraId="34DB5A18" w14:textId="219D7D3E"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b/>
          <w:bCs/>
          <w:sz w:val="20"/>
          <w:szCs w:val="20"/>
        </w:rPr>
        <w:t>Milano, 6 ottobre 2026</w:t>
      </w:r>
      <w:r w:rsidRPr="001D15F6">
        <w:rPr>
          <w:rFonts w:ascii="Times New Roman" w:hAnsi="Times New Roman" w:cs="Times New Roman"/>
          <w:sz w:val="20"/>
          <w:szCs w:val="20"/>
        </w:rPr>
        <w:t xml:space="preserve"> | Era il 1926 quando Ettore Modigliani fondò gli Amici di Brera per valorizzare e arricchire il patrimonio della Pinacoteca, avviando un progetto che univa passione per l’arte e impegno civile. Nel 1939 l’Associazione fu soppressa, non prima però di aver contribuito all’acquisto della </w:t>
      </w:r>
      <w:r w:rsidRPr="001D15F6">
        <w:rPr>
          <w:rFonts w:ascii="Times New Roman" w:hAnsi="Times New Roman" w:cs="Times New Roman"/>
          <w:i/>
          <w:iCs/>
          <w:sz w:val="20"/>
          <w:szCs w:val="20"/>
        </w:rPr>
        <w:t>Cena in Emmaus</w:t>
      </w:r>
      <w:r w:rsidRPr="001D15F6">
        <w:rPr>
          <w:rFonts w:ascii="Times New Roman" w:hAnsi="Times New Roman" w:cs="Times New Roman"/>
          <w:sz w:val="20"/>
          <w:szCs w:val="20"/>
        </w:rPr>
        <w:t xml:space="preserve"> di Caravaggio; nel 1949, grazie a Fernanda Wittgens e a Tommaso Gallarati Scotti, gli Amici furono ricostituiti con la missione di fare di Brera un museo vivo, aperto alla didattica, alla ricerca e alla divulgazione.</w:t>
      </w:r>
    </w:p>
    <w:p w14:paraId="5E1C2801" w14:textId="77777777"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Oggi, l’Associazione continua ad aprirsi verso il futuro con l’ambizione di </w:t>
      </w:r>
      <w:r w:rsidRPr="001D15F6">
        <w:rPr>
          <w:rFonts w:ascii="Times New Roman" w:hAnsi="Times New Roman" w:cs="Times New Roman"/>
          <w:b/>
          <w:bCs/>
          <w:sz w:val="20"/>
          <w:szCs w:val="20"/>
        </w:rPr>
        <w:t>rinnovare il legame con la città di Milano</w:t>
      </w:r>
      <w:r w:rsidRPr="001D15F6">
        <w:rPr>
          <w:rFonts w:ascii="Times New Roman" w:hAnsi="Times New Roman" w:cs="Times New Roman"/>
          <w:sz w:val="20"/>
          <w:szCs w:val="20"/>
        </w:rPr>
        <w:t>, le sue istituzioni e un </w:t>
      </w:r>
      <w:r w:rsidRPr="001D15F6">
        <w:rPr>
          <w:rFonts w:ascii="Times New Roman" w:hAnsi="Times New Roman" w:cs="Times New Roman"/>
          <w:b/>
          <w:bCs/>
          <w:sz w:val="20"/>
          <w:szCs w:val="20"/>
        </w:rPr>
        <w:t>pubblico sempre più diversificato, consapevole e partecipe</w:t>
      </w:r>
      <w:r w:rsidRPr="001D15F6">
        <w:rPr>
          <w:rFonts w:ascii="Times New Roman" w:hAnsi="Times New Roman" w:cs="Times New Roman"/>
          <w:sz w:val="20"/>
          <w:szCs w:val="20"/>
        </w:rPr>
        <w:t xml:space="preserve">. Dopo l'apertura ufficiale delle celebrazioni per il centenario svoltasi a Palazzo Marino nel mese di gennaio, questa mattina si è tenuta la </w:t>
      </w:r>
      <w:r w:rsidRPr="001D15F6">
        <w:rPr>
          <w:rFonts w:ascii="Times New Roman" w:hAnsi="Times New Roman" w:cs="Times New Roman"/>
          <w:b/>
          <w:bCs/>
          <w:sz w:val="20"/>
          <w:szCs w:val="20"/>
        </w:rPr>
        <w:t>presentazione del percorso espositivo interamente dedicato alla valorizzazione del patrimonio storico-artistico</w:t>
      </w:r>
      <w:r w:rsidRPr="001D15F6">
        <w:rPr>
          <w:rFonts w:ascii="Times New Roman" w:hAnsi="Times New Roman" w:cs="Times New Roman"/>
          <w:sz w:val="20"/>
          <w:szCs w:val="20"/>
        </w:rPr>
        <w:t xml:space="preserve"> di cui l'Associazione si è fatta  promotrice nel corso di questi primi cento anni e ai presidenti e mecenati ai quali si deve la ricca collezione di donazioni e acquisizioni e il riconoscimento della Grande Brera come istituzione viva, capace di dialogare con la società civile e con il proprio tempo.  </w:t>
      </w:r>
    </w:p>
    <w:p w14:paraId="16257FC5" w14:textId="16342A55" w:rsidR="006B3DCC" w:rsidRPr="001D15F6" w:rsidRDefault="00FC4957"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Dal titolo "Cento anni per Brera. Acquisti e doni degli Amici", la mostra presenta </w:t>
      </w:r>
      <w:r w:rsidRPr="001D15F6">
        <w:rPr>
          <w:rFonts w:ascii="Times New Roman" w:hAnsi="Times New Roman" w:cs="Times New Roman"/>
          <w:b/>
          <w:bCs/>
          <w:sz w:val="20"/>
          <w:szCs w:val="20"/>
        </w:rPr>
        <w:t>opere normalmente non esposte</w:t>
      </w:r>
      <w:r w:rsidRPr="001D15F6">
        <w:rPr>
          <w:rFonts w:ascii="Times New Roman" w:hAnsi="Times New Roman" w:cs="Times New Roman"/>
          <w:sz w:val="20"/>
          <w:szCs w:val="20"/>
        </w:rPr>
        <w:t xml:space="preserve"> che permettono di riconsiderare, con l’ausilio di </w:t>
      </w:r>
      <w:r w:rsidRPr="001D15F6">
        <w:rPr>
          <w:rFonts w:ascii="Times New Roman" w:hAnsi="Times New Roman" w:cs="Times New Roman"/>
          <w:b/>
          <w:bCs/>
          <w:sz w:val="20"/>
          <w:szCs w:val="20"/>
        </w:rPr>
        <w:t>fotografie storiche, documenti e testimonianze a stampa</w:t>
      </w:r>
      <w:r w:rsidRPr="001D15F6">
        <w:rPr>
          <w:rFonts w:ascii="Times New Roman" w:hAnsi="Times New Roman" w:cs="Times New Roman"/>
          <w:sz w:val="20"/>
          <w:szCs w:val="20"/>
        </w:rPr>
        <w:t xml:space="preserve">, la storia dell’Associazione nella sua stretta relazione con la vita della Pinacoteca in una serrata sequenza cronologica dal 1926 ad oggi. La mostra si estende ai numerosi capolavori esposti tra le sale della Pinacoteca e quelle di Palazzo Citterio con </w:t>
      </w:r>
      <w:r w:rsidRPr="001D15F6">
        <w:rPr>
          <w:rFonts w:ascii="Times New Roman" w:hAnsi="Times New Roman" w:cs="Times New Roman"/>
          <w:b/>
          <w:bCs/>
          <w:sz w:val="20"/>
          <w:szCs w:val="20"/>
        </w:rPr>
        <w:t>didascalie che contraddistinguono le opere</w:t>
      </w:r>
      <w:r w:rsidRPr="001D15F6">
        <w:rPr>
          <w:rFonts w:ascii="Times New Roman" w:hAnsi="Times New Roman" w:cs="Times New Roman"/>
          <w:sz w:val="20"/>
          <w:szCs w:val="20"/>
        </w:rPr>
        <w:t xml:space="preserve"> e raccontano il contesto dell’acquisizione. La mostra</w:t>
      </w:r>
      <w:r w:rsidR="006B3DCC" w:rsidRPr="001D15F6">
        <w:rPr>
          <w:rFonts w:ascii="Times New Roman" w:hAnsi="Times New Roman" w:cs="Times New Roman"/>
          <w:sz w:val="20"/>
          <w:szCs w:val="20"/>
        </w:rPr>
        <w:t xml:space="preserve"> è stata </w:t>
      </w:r>
      <w:r w:rsidR="006B3DCC" w:rsidRPr="001D15F6">
        <w:rPr>
          <w:rFonts w:ascii="Times New Roman" w:hAnsi="Times New Roman" w:cs="Times New Roman"/>
          <w:b/>
          <w:bCs/>
          <w:sz w:val="20"/>
          <w:szCs w:val="20"/>
        </w:rPr>
        <w:t xml:space="preserve">curata da Alessandro Morandotti, Lorenzo </w:t>
      </w:r>
      <w:r w:rsidR="00962A82" w:rsidRPr="001D15F6">
        <w:rPr>
          <w:rFonts w:ascii="Times New Roman" w:hAnsi="Times New Roman" w:cs="Times New Roman"/>
          <w:b/>
          <w:bCs/>
          <w:sz w:val="20"/>
          <w:szCs w:val="20"/>
        </w:rPr>
        <w:t xml:space="preserve">Francesco </w:t>
      </w:r>
      <w:r w:rsidR="006B3DCC" w:rsidRPr="001D15F6">
        <w:rPr>
          <w:rFonts w:ascii="Times New Roman" w:hAnsi="Times New Roman" w:cs="Times New Roman"/>
          <w:b/>
          <w:bCs/>
          <w:sz w:val="20"/>
          <w:szCs w:val="20"/>
        </w:rPr>
        <w:t>Colombo e Valentina Ferrari</w:t>
      </w:r>
      <w:r w:rsidR="006B3DCC" w:rsidRPr="001D15F6">
        <w:rPr>
          <w:rFonts w:ascii="Times New Roman" w:hAnsi="Times New Roman" w:cs="Times New Roman"/>
          <w:sz w:val="20"/>
          <w:szCs w:val="20"/>
        </w:rPr>
        <w:t xml:space="preserve">, e sarà visitabile a partire </w:t>
      </w:r>
      <w:r w:rsidR="006B3DCC" w:rsidRPr="001D15F6">
        <w:rPr>
          <w:rFonts w:ascii="Times New Roman" w:hAnsi="Times New Roman" w:cs="Times New Roman"/>
          <w:b/>
          <w:bCs/>
          <w:sz w:val="20"/>
          <w:szCs w:val="20"/>
        </w:rPr>
        <w:t>dal 7 ottobre fino al 14 febbraio</w:t>
      </w:r>
      <w:r w:rsidR="006B3DCC" w:rsidRPr="001D15F6">
        <w:rPr>
          <w:rFonts w:ascii="Times New Roman" w:hAnsi="Times New Roman" w:cs="Times New Roman"/>
          <w:sz w:val="20"/>
          <w:szCs w:val="20"/>
        </w:rPr>
        <w:t xml:space="preserve">. </w:t>
      </w:r>
      <w:r w:rsidR="006B3DCC" w:rsidRPr="001D15F6">
        <w:rPr>
          <w:rFonts w:ascii="Times New Roman" w:hAnsi="Times New Roman" w:cs="Times New Roman"/>
          <w:b/>
          <w:bCs/>
          <w:sz w:val="20"/>
          <w:szCs w:val="20"/>
        </w:rPr>
        <w:t>Un volume omonimo</w:t>
      </w:r>
      <w:r w:rsidR="006B3DCC" w:rsidRPr="001D15F6">
        <w:rPr>
          <w:rFonts w:ascii="Times New Roman" w:hAnsi="Times New Roman" w:cs="Times New Roman"/>
          <w:sz w:val="20"/>
          <w:szCs w:val="20"/>
        </w:rPr>
        <w:t xml:space="preserve">, pubblicato dal </w:t>
      </w:r>
      <w:proofErr w:type="gramStart"/>
      <w:r w:rsidR="006B3DCC" w:rsidRPr="001D15F6">
        <w:rPr>
          <w:rFonts w:ascii="Times New Roman" w:hAnsi="Times New Roman" w:cs="Times New Roman"/>
          <w:sz w:val="20"/>
          <w:szCs w:val="20"/>
        </w:rPr>
        <w:t>Centro</w:t>
      </w:r>
      <w:proofErr w:type="gramEnd"/>
      <w:r w:rsidR="006B3DCC" w:rsidRPr="001D15F6">
        <w:rPr>
          <w:rFonts w:ascii="Times New Roman" w:hAnsi="Times New Roman" w:cs="Times New Roman"/>
          <w:sz w:val="20"/>
          <w:szCs w:val="20"/>
        </w:rPr>
        <w:t xml:space="preserve"> Di </w:t>
      </w:r>
      <w:proofErr w:type="spellStart"/>
      <w:r w:rsidR="006B3DCC" w:rsidRPr="001D15F6">
        <w:rPr>
          <w:rFonts w:ascii="Times New Roman" w:hAnsi="Times New Roman" w:cs="Times New Roman"/>
          <w:sz w:val="20"/>
          <w:szCs w:val="20"/>
        </w:rPr>
        <w:t>di</w:t>
      </w:r>
      <w:proofErr w:type="spellEnd"/>
      <w:r w:rsidR="006B3DCC" w:rsidRPr="001D15F6">
        <w:rPr>
          <w:rFonts w:ascii="Times New Roman" w:hAnsi="Times New Roman" w:cs="Times New Roman"/>
          <w:sz w:val="20"/>
          <w:szCs w:val="20"/>
        </w:rPr>
        <w:t xml:space="preserve"> Firenze come undicesimo volume della storica collana dei </w:t>
      </w:r>
      <w:r w:rsidR="006B3DCC" w:rsidRPr="001D15F6">
        <w:rPr>
          <w:rFonts w:ascii="Times New Roman" w:hAnsi="Times New Roman" w:cs="Times New Roman"/>
          <w:i/>
          <w:iCs/>
          <w:sz w:val="20"/>
          <w:szCs w:val="20"/>
        </w:rPr>
        <w:t>Quaderni di Brera,</w:t>
      </w:r>
      <w:r w:rsidR="006B3DCC" w:rsidRPr="001D15F6">
        <w:rPr>
          <w:rFonts w:ascii="Times New Roman" w:hAnsi="Times New Roman" w:cs="Times New Roman"/>
          <w:sz w:val="20"/>
          <w:szCs w:val="20"/>
        </w:rPr>
        <w:t xml:space="preserve"> ripercorre la storia del sodalizio e la sua opera di arricchimento delle collezioni braidensi, </w:t>
      </w:r>
      <w:r w:rsidRPr="001D15F6">
        <w:rPr>
          <w:rFonts w:ascii="Times New Roman" w:hAnsi="Times New Roman" w:cs="Times New Roman"/>
          <w:sz w:val="20"/>
          <w:szCs w:val="20"/>
        </w:rPr>
        <w:t xml:space="preserve">tracciando le biografie dei Presidenti e dei donatori e illustrando </w:t>
      </w:r>
      <w:r w:rsidR="006B3DCC" w:rsidRPr="001D15F6">
        <w:rPr>
          <w:rFonts w:ascii="Times New Roman" w:hAnsi="Times New Roman" w:cs="Times New Roman"/>
          <w:sz w:val="20"/>
          <w:szCs w:val="20"/>
        </w:rPr>
        <w:t xml:space="preserve">le </w:t>
      </w:r>
      <w:r w:rsidR="006B3DCC" w:rsidRPr="001D15F6">
        <w:rPr>
          <w:rFonts w:ascii="Times New Roman" w:hAnsi="Times New Roman" w:cs="Times New Roman"/>
          <w:b/>
          <w:bCs/>
          <w:sz w:val="20"/>
          <w:szCs w:val="20"/>
        </w:rPr>
        <w:t>importanti e numerose donazioni fatte a favore del museo dall'Associazione e da suoi soci</w:t>
      </w:r>
      <w:r w:rsidR="006B3DCC" w:rsidRPr="001D15F6">
        <w:rPr>
          <w:rFonts w:ascii="Times New Roman" w:hAnsi="Times New Roman" w:cs="Times New Roman"/>
          <w:sz w:val="20"/>
          <w:szCs w:val="20"/>
        </w:rPr>
        <w:t>.</w:t>
      </w:r>
    </w:p>
    <w:p w14:paraId="6342DB1F" w14:textId="01222657"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“Nel centenario della fondazione degli Amici di Brera, che ha visto in campo alcune tra le figure più rappresentative della società milanese sia nel campo dell’impresa sia nel campo della cultura, rinnoviamo il nostro impegno a farci portavoce di una storia di </w:t>
      </w:r>
      <w:r w:rsidRPr="001D15F6">
        <w:rPr>
          <w:rFonts w:ascii="Times New Roman" w:hAnsi="Times New Roman" w:cs="Times New Roman"/>
          <w:sz w:val="20"/>
          <w:szCs w:val="20"/>
        </w:rPr>
        <w:lastRenderedPageBreak/>
        <w:t>passione, competenza e attenzione verso la crescita del patrimonio del museo. Attraverso la mostra intendiamo custodirne e trasmetterne la memoria e mettere in luce i protagonisti e i capolavori che hanno permesso di rafforzare il ruolo della Grande Brera come istituzione viva, capace di dialogare con la società civile e con il proprio tempo”, queste le parole del </w:t>
      </w:r>
      <w:r w:rsidRPr="001D15F6">
        <w:rPr>
          <w:rFonts w:ascii="Times New Roman" w:hAnsi="Times New Roman" w:cs="Times New Roman"/>
          <w:b/>
          <w:bCs/>
          <w:sz w:val="20"/>
          <w:szCs w:val="20"/>
        </w:rPr>
        <w:t>Presidente dell’Associazione Carlo Orsi</w:t>
      </w:r>
      <w:r w:rsidRPr="001D15F6">
        <w:rPr>
          <w:rFonts w:ascii="Times New Roman" w:hAnsi="Times New Roman" w:cs="Times New Roman"/>
          <w:sz w:val="20"/>
          <w:szCs w:val="20"/>
        </w:rPr>
        <w:t>.</w:t>
      </w:r>
    </w:p>
    <w:p w14:paraId="16DD13CC" w14:textId="06789995" w:rsidR="006B3DCC" w:rsidRPr="001D15F6" w:rsidRDefault="006B3DCC" w:rsidP="00E82251">
      <w:pPr>
        <w:ind w:left="-227"/>
        <w:jc w:val="both"/>
        <w:rPr>
          <w:rFonts w:ascii="Times New Roman" w:hAnsi="Times New Roman" w:cs="Times New Roman"/>
          <w:sz w:val="20"/>
          <w:szCs w:val="20"/>
        </w:rPr>
      </w:pPr>
      <w:r w:rsidRPr="001D15F6">
        <w:rPr>
          <w:rFonts w:ascii="Times New Roman" w:hAnsi="Times New Roman" w:cs="Times New Roman"/>
          <w:sz w:val="20"/>
          <w:szCs w:val="20"/>
        </w:rPr>
        <w:t>L’</w:t>
      </w:r>
      <w:r w:rsidRPr="001D15F6">
        <w:rPr>
          <w:rFonts w:ascii="Times New Roman" w:hAnsi="Times New Roman" w:cs="Times New Roman"/>
          <w:b/>
          <w:bCs/>
          <w:sz w:val="20"/>
          <w:szCs w:val="20"/>
        </w:rPr>
        <w:t>Assessore alla Cultura del Comune di Milano, Tommaso Sacchi</w:t>
      </w:r>
      <w:r w:rsidRPr="001D15F6">
        <w:rPr>
          <w:rFonts w:ascii="Times New Roman" w:hAnsi="Times New Roman" w:cs="Times New Roman"/>
          <w:sz w:val="20"/>
          <w:szCs w:val="20"/>
        </w:rPr>
        <w:t xml:space="preserve">, ha affermato: </w:t>
      </w:r>
      <w:r w:rsidR="00E82251" w:rsidRPr="001D15F6">
        <w:rPr>
          <w:rFonts w:ascii="Times New Roman" w:hAnsi="Times New Roman" w:cs="Times New Roman"/>
          <w:sz w:val="20"/>
          <w:szCs w:val="20"/>
        </w:rPr>
        <w:t>“Questa mostra racconta cento anni di una storia profondamente milanese, fatta di passione per l’arte, responsabilità e partecipazione civile. Gli Amici di Brera hanno contribuito in modo concreto alla crescita del patrimonio del museo, sostenendo acquisizioni, restauri, ricerca e divulgazione. Celebrare questo anniversario significa riconoscere il valore di una collaborazione tra istituzioni, società civile e mecenati che ha accompagnato Brera nel tempo e continua a essere decisiva per il futuro della Grande Brera".</w:t>
      </w:r>
    </w:p>
    <w:p w14:paraId="6C505B3C" w14:textId="059424BA" w:rsidR="001D15F6" w:rsidRPr="001D15F6" w:rsidRDefault="001D15F6" w:rsidP="00E82251">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“Da cento anni gli Amici di Brera contribuiscono ad arricchire il patrimonio della Grande Brera attraverso donazioni, acquisizioni e il sostegno alla ricerca. Questa mostra racconta il valore civile del loro impegno e il legame tra i cittadini e un'istituzione che è motivo di orgoglio per Milano, per la Lombardia e per l'intero Paese. Prendersi cura di un patrimonio che appartiene a tutti vuol dire renderlo accessibile, farlo conoscere e trasmetterlo alle nuove generazioni. L’associazione ha saputo tradurre la passione per l’arte in un servizio alla comunità. Questo anniversario è l’occasione per riconoscere un lavoro prezioso e coinvolgere nuovi sostenitori, soprattutto tra i giovani, nella vita e nel futuro di Brera”, si è espressa così </w:t>
      </w:r>
      <w:r w:rsidRPr="001D15F6">
        <w:rPr>
          <w:rFonts w:ascii="Times New Roman" w:hAnsi="Times New Roman" w:cs="Times New Roman"/>
          <w:b/>
          <w:bCs/>
          <w:sz w:val="20"/>
          <w:szCs w:val="20"/>
        </w:rPr>
        <w:t>Francesca Caruso, Assessore alla Cultura di Regione Lombardia</w:t>
      </w:r>
      <w:r w:rsidRPr="001D15F6">
        <w:rPr>
          <w:rFonts w:ascii="Times New Roman" w:hAnsi="Times New Roman" w:cs="Times New Roman"/>
          <w:sz w:val="20"/>
          <w:szCs w:val="20"/>
        </w:rPr>
        <w:t>.</w:t>
      </w:r>
    </w:p>
    <w:p w14:paraId="3A4D434A" w14:textId="23F5E22D"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Sin dalla sua fondazione, uno degli scopi dell'Associazione è stato quello di arricchire il patrimonio artistico della Pinacoteca. Dipinti, sculture e codici miniati confluiti a Brera grazie all'azione generosa degli Amici hanno scandito la vicenda centenaria dell'istituzione nel tentativo di potenziare il museo nelle sue aree storico-artistiche meno rappresentate nelle scelte stilistiche originarie, risalenti al gusto dell’età napoleonica. Dalla </w:t>
      </w:r>
      <w:r w:rsidRPr="001D15F6">
        <w:rPr>
          <w:rFonts w:ascii="Times New Roman" w:hAnsi="Times New Roman" w:cs="Times New Roman"/>
          <w:i/>
          <w:iCs/>
          <w:sz w:val="20"/>
          <w:szCs w:val="20"/>
        </w:rPr>
        <w:t>Cena in Emmaus</w:t>
      </w:r>
      <w:r w:rsidRPr="001D15F6">
        <w:rPr>
          <w:rFonts w:ascii="Times New Roman" w:hAnsi="Times New Roman" w:cs="Times New Roman"/>
          <w:sz w:val="20"/>
          <w:szCs w:val="20"/>
        </w:rPr>
        <w:t xml:space="preserve"> di </w:t>
      </w:r>
      <w:r w:rsidRPr="001D15F6">
        <w:rPr>
          <w:rFonts w:ascii="Times New Roman" w:hAnsi="Times New Roman" w:cs="Times New Roman"/>
          <w:b/>
          <w:bCs/>
          <w:sz w:val="20"/>
          <w:szCs w:val="20"/>
        </w:rPr>
        <w:t>Caravaggio</w:t>
      </w:r>
      <w:r w:rsidRPr="001D15F6">
        <w:rPr>
          <w:rFonts w:ascii="Times New Roman" w:hAnsi="Times New Roman" w:cs="Times New Roman"/>
          <w:sz w:val="20"/>
          <w:szCs w:val="20"/>
        </w:rPr>
        <w:t xml:space="preserve"> ai </w:t>
      </w:r>
      <w:r w:rsidRPr="001D15F6">
        <w:rPr>
          <w:rFonts w:ascii="Times New Roman" w:hAnsi="Times New Roman" w:cs="Times New Roman"/>
          <w:i/>
          <w:iCs/>
          <w:sz w:val="20"/>
          <w:szCs w:val="20"/>
        </w:rPr>
        <w:t>Pascoli di primavera</w:t>
      </w:r>
      <w:r w:rsidRPr="001D15F6">
        <w:rPr>
          <w:rFonts w:ascii="Times New Roman" w:hAnsi="Times New Roman" w:cs="Times New Roman"/>
          <w:sz w:val="20"/>
          <w:szCs w:val="20"/>
        </w:rPr>
        <w:t xml:space="preserve"> di </w:t>
      </w:r>
      <w:r w:rsidRPr="001D15F6">
        <w:rPr>
          <w:rFonts w:ascii="Times New Roman" w:hAnsi="Times New Roman" w:cs="Times New Roman"/>
          <w:b/>
          <w:bCs/>
          <w:sz w:val="20"/>
          <w:szCs w:val="20"/>
        </w:rPr>
        <w:t>Giovanni Segantini</w:t>
      </w:r>
      <w:r w:rsidRPr="001D15F6">
        <w:rPr>
          <w:rFonts w:ascii="Times New Roman" w:hAnsi="Times New Roman" w:cs="Times New Roman"/>
          <w:sz w:val="20"/>
          <w:szCs w:val="20"/>
        </w:rPr>
        <w:t xml:space="preserve">, dal </w:t>
      </w:r>
      <w:r w:rsidRPr="001D15F6">
        <w:rPr>
          <w:rFonts w:ascii="Times New Roman" w:hAnsi="Times New Roman" w:cs="Times New Roman"/>
          <w:i/>
          <w:iCs/>
          <w:sz w:val="20"/>
          <w:szCs w:val="20"/>
        </w:rPr>
        <w:t>Ritratto di gentiluomo con il cane</w:t>
      </w:r>
      <w:r w:rsidRPr="001D15F6">
        <w:rPr>
          <w:rFonts w:ascii="Times New Roman" w:hAnsi="Times New Roman" w:cs="Times New Roman"/>
          <w:sz w:val="20"/>
          <w:szCs w:val="20"/>
        </w:rPr>
        <w:t xml:space="preserve"> di </w:t>
      </w:r>
      <w:r w:rsidRPr="001D15F6">
        <w:rPr>
          <w:rFonts w:ascii="Times New Roman" w:hAnsi="Times New Roman" w:cs="Times New Roman"/>
          <w:b/>
          <w:bCs/>
          <w:sz w:val="20"/>
          <w:szCs w:val="20"/>
        </w:rPr>
        <w:t>Bartolomeo Passarotti</w:t>
      </w:r>
      <w:r w:rsidRPr="001D15F6">
        <w:rPr>
          <w:rFonts w:ascii="Times New Roman" w:hAnsi="Times New Roman" w:cs="Times New Roman"/>
          <w:sz w:val="20"/>
          <w:szCs w:val="20"/>
        </w:rPr>
        <w:t xml:space="preserve"> alla </w:t>
      </w:r>
      <w:r w:rsidRPr="001D15F6">
        <w:rPr>
          <w:rFonts w:ascii="Times New Roman" w:hAnsi="Times New Roman" w:cs="Times New Roman"/>
          <w:i/>
          <w:iCs/>
          <w:sz w:val="20"/>
          <w:szCs w:val="20"/>
        </w:rPr>
        <w:t>Morte di Cleopatra</w:t>
      </w:r>
      <w:r w:rsidRPr="001D15F6">
        <w:rPr>
          <w:rFonts w:ascii="Times New Roman" w:hAnsi="Times New Roman" w:cs="Times New Roman"/>
          <w:sz w:val="20"/>
          <w:szCs w:val="20"/>
        </w:rPr>
        <w:t xml:space="preserve"> di </w:t>
      </w:r>
      <w:r w:rsidRPr="001D15F6">
        <w:rPr>
          <w:rFonts w:ascii="Times New Roman" w:hAnsi="Times New Roman" w:cs="Times New Roman"/>
          <w:b/>
          <w:bCs/>
          <w:sz w:val="20"/>
          <w:szCs w:val="20"/>
        </w:rPr>
        <w:t xml:space="preserve">Guido Cagnacci </w:t>
      </w:r>
      <w:r w:rsidRPr="001D15F6">
        <w:rPr>
          <w:rFonts w:ascii="Times New Roman" w:hAnsi="Times New Roman" w:cs="Times New Roman"/>
          <w:sz w:val="20"/>
          <w:szCs w:val="20"/>
        </w:rPr>
        <w:t>e, ancora, dall’</w:t>
      </w:r>
      <w:r w:rsidRPr="001D15F6">
        <w:rPr>
          <w:rFonts w:ascii="Times New Roman" w:hAnsi="Times New Roman" w:cs="Times New Roman"/>
          <w:i/>
          <w:iCs/>
          <w:sz w:val="20"/>
          <w:szCs w:val="20"/>
        </w:rPr>
        <w:t>Adorazione dei Magi</w:t>
      </w:r>
      <w:r w:rsidRPr="001D15F6">
        <w:rPr>
          <w:rFonts w:ascii="Times New Roman" w:hAnsi="Times New Roman" w:cs="Times New Roman"/>
          <w:sz w:val="20"/>
          <w:szCs w:val="20"/>
        </w:rPr>
        <w:t xml:space="preserve"> di </w:t>
      </w:r>
      <w:r w:rsidRPr="001D15F6">
        <w:rPr>
          <w:rFonts w:ascii="Times New Roman" w:hAnsi="Times New Roman" w:cs="Times New Roman"/>
          <w:b/>
          <w:bCs/>
          <w:sz w:val="20"/>
          <w:szCs w:val="20"/>
        </w:rPr>
        <w:t>Gaetano Previati</w:t>
      </w:r>
      <w:r w:rsidRPr="001D15F6">
        <w:rPr>
          <w:rFonts w:ascii="Times New Roman" w:hAnsi="Times New Roman" w:cs="Times New Roman"/>
          <w:sz w:val="20"/>
          <w:szCs w:val="20"/>
        </w:rPr>
        <w:t xml:space="preserve"> alla </w:t>
      </w:r>
      <w:r w:rsidRPr="001D15F6">
        <w:rPr>
          <w:rFonts w:ascii="Times New Roman" w:hAnsi="Times New Roman" w:cs="Times New Roman"/>
          <w:i/>
          <w:iCs/>
          <w:sz w:val="20"/>
          <w:szCs w:val="20"/>
        </w:rPr>
        <w:t>Madonna col Bambino</w:t>
      </w:r>
      <w:r w:rsidRPr="001D15F6">
        <w:rPr>
          <w:rFonts w:ascii="Times New Roman" w:hAnsi="Times New Roman" w:cs="Times New Roman"/>
          <w:sz w:val="20"/>
          <w:szCs w:val="20"/>
        </w:rPr>
        <w:t xml:space="preserve"> di </w:t>
      </w:r>
      <w:r w:rsidRPr="001D15F6">
        <w:rPr>
          <w:rFonts w:ascii="Times New Roman" w:hAnsi="Times New Roman" w:cs="Times New Roman"/>
          <w:b/>
          <w:bCs/>
          <w:sz w:val="20"/>
          <w:szCs w:val="20"/>
        </w:rPr>
        <w:t>Ambrogio Lorenzetti</w:t>
      </w:r>
      <w:r w:rsidRPr="001D15F6">
        <w:rPr>
          <w:rFonts w:ascii="Times New Roman" w:hAnsi="Times New Roman" w:cs="Times New Roman"/>
          <w:sz w:val="20"/>
          <w:szCs w:val="20"/>
        </w:rPr>
        <w:t>: sono queste soltanto alcune delle importanti opere d’arte donate al museo nel corso degli anni al fine di arricchirne la preziosa collezione.</w:t>
      </w:r>
    </w:p>
    <w:p w14:paraId="131FD760" w14:textId="3509FF78"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"Da cento anni, la storia degli Amici di Brera si intreccia indissolubilmente con quella della Pinacoteca, in un rapporto fondato sulla condivisione, sulla generosità e su un profondo senso di appartenenza. Un legame che ha attraversato generazioni diverse trovando nella tutela e nell’arricchimento del patrimonio la sua espressione più concreta, trasformando l’amicizia per Brera in una forma autentica e duratura di responsabilità culturale. </w:t>
      </w:r>
      <w:r w:rsidR="00FC4957" w:rsidRPr="001D15F6">
        <w:rPr>
          <w:rFonts w:ascii="Times New Roman" w:hAnsi="Times New Roman" w:cs="Times New Roman"/>
          <w:i/>
          <w:iCs/>
          <w:sz w:val="20"/>
          <w:szCs w:val="20"/>
        </w:rPr>
        <w:t>Cento</w:t>
      </w:r>
      <w:r w:rsidR="003F73C2" w:rsidRPr="001D15F6">
        <w:rPr>
          <w:rFonts w:ascii="Times New Roman" w:hAnsi="Times New Roman" w:cs="Times New Roman"/>
          <w:i/>
          <w:iCs/>
          <w:sz w:val="20"/>
          <w:szCs w:val="20"/>
        </w:rPr>
        <w:t xml:space="preserve"> Anni per Brera. Doni e Acquisti degli Amici</w:t>
      </w:r>
      <w:r w:rsidR="003F73C2" w:rsidRPr="001D15F6">
        <w:rPr>
          <w:rFonts w:ascii="Times New Roman" w:hAnsi="Times New Roman" w:cs="Times New Roman"/>
          <w:sz w:val="20"/>
          <w:szCs w:val="20"/>
        </w:rPr>
        <w:t xml:space="preserve"> </w:t>
      </w:r>
      <w:proofErr w:type="gramStart"/>
      <w:r w:rsidRPr="001D15F6">
        <w:rPr>
          <w:rFonts w:ascii="Times New Roman" w:hAnsi="Times New Roman" w:cs="Times New Roman"/>
          <w:sz w:val="20"/>
          <w:szCs w:val="20"/>
        </w:rPr>
        <w:t>nasce</w:t>
      </w:r>
      <w:proofErr w:type="gramEnd"/>
      <w:r w:rsidRPr="001D15F6">
        <w:rPr>
          <w:rFonts w:ascii="Times New Roman" w:hAnsi="Times New Roman" w:cs="Times New Roman"/>
          <w:sz w:val="20"/>
          <w:szCs w:val="20"/>
        </w:rPr>
        <w:t xml:space="preserve"> dal desiderio di rendere visibile questa storia che rappresenta un chiaro esempio, dapprima di mecenatismo e ora di sussidiarietà come sancisce la nostra Costituzione, un esempio </w:t>
      </w:r>
      <w:r w:rsidRPr="001D15F6">
        <w:rPr>
          <w:rFonts w:ascii="Times New Roman" w:hAnsi="Times New Roman" w:cs="Times New Roman"/>
          <w:sz w:val="20"/>
          <w:szCs w:val="20"/>
        </w:rPr>
        <w:lastRenderedPageBreak/>
        <w:t xml:space="preserve">chiaro di come i privati illuminati possano concorre al mantenimento delle grandi Istituzioni pubbliche. </w:t>
      </w:r>
      <w:r w:rsidR="00FC4957" w:rsidRPr="001D15F6">
        <w:rPr>
          <w:rFonts w:ascii="Times New Roman" w:hAnsi="Times New Roman" w:cs="Times New Roman"/>
          <w:sz w:val="20"/>
          <w:szCs w:val="20"/>
        </w:rPr>
        <w:t>Q</w:t>
      </w:r>
      <w:r w:rsidRPr="001D15F6">
        <w:rPr>
          <w:rFonts w:ascii="Times New Roman" w:hAnsi="Times New Roman" w:cs="Times New Roman"/>
          <w:sz w:val="20"/>
          <w:szCs w:val="20"/>
        </w:rPr>
        <w:t xml:space="preserve">uesta mostra vuole dunque essere anche un gesto di gratitudine. Agli Amici di ieri e di oggi Brera deve molto più delle opere che essi hanno contribuito a consegnarle: deve una presenza fedele, una vicinanza mai venuta meno e quella particolare forma di cura che nasce dal sentirsi parte della storia di un’istituzione", è così intervenuto </w:t>
      </w:r>
      <w:r w:rsidRPr="001D15F6">
        <w:rPr>
          <w:rFonts w:ascii="Times New Roman" w:hAnsi="Times New Roman" w:cs="Times New Roman"/>
          <w:b/>
          <w:bCs/>
          <w:sz w:val="20"/>
          <w:szCs w:val="20"/>
        </w:rPr>
        <w:t>Angelo Crespi, Direttore Generale Pinacoteca di Brera e Biblioteca Nazionale Braidense, Palazzo Citterio, Cenacolo Vinciano</w:t>
      </w:r>
      <w:r w:rsidRPr="001D15F6">
        <w:rPr>
          <w:rFonts w:ascii="Times New Roman" w:hAnsi="Times New Roman" w:cs="Times New Roman"/>
          <w:sz w:val="20"/>
          <w:szCs w:val="20"/>
        </w:rPr>
        <w:t>.</w:t>
      </w:r>
    </w:p>
    <w:p w14:paraId="4D98A185" w14:textId="37A369D5"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Due importanti donazioni nel corso dell’anno hanno dato nuovamente prova della generosità e del ruolo degli Amici di Brera come interlocutore fondamentale nella crescita del patrimonio culturale milanese: il ritratto di Ettore Modigliani, Direttore e Soprintendente di Brera, realizzato da </w:t>
      </w:r>
      <w:r w:rsidRPr="001D15F6">
        <w:rPr>
          <w:rFonts w:ascii="Times New Roman" w:hAnsi="Times New Roman" w:cs="Times New Roman"/>
          <w:b/>
          <w:bCs/>
          <w:sz w:val="20"/>
          <w:szCs w:val="20"/>
        </w:rPr>
        <w:t>Harold Knight</w:t>
      </w:r>
      <w:r w:rsidRPr="001D15F6">
        <w:rPr>
          <w:rFonts w:ascii="Times New Roman" w:hAnsi="Times New Roman" w:cs="Times New Roman"/>
          <w:sz w:val="20"/>
          <w:szCs w:val="20"/>
        </w:rPr>
        <w:t xml:space="preserve"> durante il soggiorno londinese di Modigliani in occasione della grande esposizione di arte italiana del 1930 alla Royal Academy of Arts e il ritratto olio su tela di Ignazio Fumagalli di </w:t>
      </w:r>
      <w:r w:rsidRPr="001D15F6">
        <w:rPr>
          <w:rFonts w:ascii="Times New Roman" w:hAnsi="Times New Roman" w:cs="Times New Roman"/>
          <w:b/>
          <w:bCs/>
          <w:sz w:val="20"/>
          <w:szCs w:val="20"/>
        </w:rPr>
        <w:t>Giuseppe Bossi</w:t>
      </w:r>
      <w:r w:rsidRPr="001D15F6">
        <w:rPr>
          <w:rFonts w:ascii="Times New Roman" w:hAnsi="Times New Roman" w:cs="Times New Roman"/>
          <w:sz w:val="20"/>
          <w:szCs w:val="20"/>
        </w:rPr>
        <w:t xml:space="preserve">, entrambi figure chiave nella storia dell’Accademia di Brera, che proprio nel 2026 festeggia i 250 anni. Sempre al 2026 è da attribuire la donazione di due monumentali cartoni preparatori di </w:t>
      </w:r>
      <w:r w:rsidRPr="001D15F6">
        <w:rPr>
          <w:rFonts w:ascii="Times New Roman" w:hAnsi="Times New Roman" w:cs="Times New Roman"/>
          <w:b/>
          <w:bCs/>
          <w:sz w:val="20"/>
          <w:szCs w:val="20"/>
        </w:rPr>
        <w:t>Francesco Hayez e Pelagio Palagi</w:t>
      </w:r>
      <w:r w:rsidRPr="001D15F6">
        <w:rPr>
          <w:rFonts w:ascii="Times New Roman" w:hAnsi="Times New Roman" w:cs="Times New Roman"/>
          <w:sz w:val="20"/>
          <w:szCs w:val="20"/>
        </w:rPr>
        <w:t>, dono della consigliera Francesca Luchi alla Pinacoteca di Brera.</w:t>
      </w:r>
    </w:p>
    <w:p w14:paraId="3371397B" w14:textId="16B3D1A0" w:rsidR="001D15F6" w:rsidRPr="001D15F6" w:rsidRDefault="006B3DCC" w:rsidP="001D15F6">
      <w:pPr>
        <w:ind w:left="-227"/>
        <w:jc w:val="both"/>
        <w:rPr>
          <w:rFonts w:ascii="Times New Roman" w:hAnsi="Times New Roman" w:cs="Times New Roman"/>
          <w:b/>
          <w:bCs/>
          <w:sz w:val="20"/>
          <w:szCs w:val="20"/>
        </w:rPr>
      </w:pPr>
      <w:r w:rsidRPr="001D15F6">
        <w:rPr>
          <w:rFonts w:ascii="Times New Roman" w:hAnsi="Times New Roman" w:cs="Times New Roman"/>
          <w:sz w:val="20"/>
          <w:szCs w:val="20"/>
        </w:rPr>
        <w:t>"Perché ogni gesto di generosità sia eternato in un’opera d’arte, perché il mecenatismo sia una spirituale presenza nella Pinacoteca”: nelle parole pronunciate da Fernanda Wittgens agli Amici di Brera nel 1957 ritroviamo il significato più profondo di questa storia. In cento anni quella “presenza” ha assunto forme diverse e concrete: capolavori entrati nelle collezioni, restauri, progetti educativi, iniziative culturali, sostegno alla vita e alla crescita del museo. Ma alla loro origine ritroviamo una medesima idea: che la tutela e la trasmissione del patrimonio siano una responsabilità condivisa, capace di unire persone e generazioni intorno agli stessi valori. Oggi abbiamo il privilegio e la responsabilità di custodire i segni di questa straordinaria storia e, soprattutto, di mantenerne vivo lo spirito, perché possa continuare a generare conoscenza, partecipazione e bellezza", hanno aggiunto i curatori </w:t>
      </w:r>
      <w:r w:rsidRPr="001D15F6">
        <w:rPr>
          <w:rFonts w:ascii="Times New Roman" w:hAnsi="Times New Roman" w:cs="Times New Roman"/>
          <w:b/>
          <w:bCs/>
          <w:sz w:val="20"/>
          <w:szCs w:val="20"/>
        </w:rPr>
        <w:t>Valentina Ferrar</w:t>
      </w:r>
      <w:r w:rsidR="00FC4957" w:rsidRPr="001D15F6">
        <w:rPr>
          <w:rFonts w:ascii="Times New Roman" w:hAnsi="Times New Roman" w:cs="Times New Roman"/>
          <w:b/>
          <w:bCs/>
          <w:sz w:val="20"/>
          <w:szCs w:val="20"/>
        </w:rPr>
        <w:t xml:space="preserve">i, </w:t>
      </w:r>
      <w:r w:rsidRPr="001D15F6">
        <w:rPr>
          <w:rFonts w:ascii="Times New Roman" w:hAnsi="Times New Roman" w:cs="Times New Roman"/>
          <w:b/>
          <w:bCs/>
          <w:sz w:val="20"/>
          <w:szCs w:val="20"/>
        </w:rPr>
        <w:t xml:space="preserve">Alessandro Morandotti e Lorenzo </w:t>
      </w:r>
      <w:r w:rsidR="00962A82" w:rsidRPr="001D15F6">
        <w:rPr>
          <w:rFonts w:ascii="Times New Roman" w:hAnsi="Times New Roman" w:cs="Times New Roman"/>
          <w:b/>
          <w:bCs/>
          <w:sz w:val="20"/>
          <w:szCs w:val="20"/>
        </w:rPr>
        <w:t xml:space="preserve">Francesco </w:t>
      </w:r>
      <w:r w:rsidRPr="001D15F6">
        <w:rPr>
          <w:rFonts w:ascii="Times New Roman" w:hAnsi="Times New Roman" w:cs="Times New Roman"/>
          <w:b/>
          <w:bCs/>
          <w:sz w:val="20"/>
          <w:szCs w:val="20"/>
        </w:rPr>
        <w:t>Colombo</w:t>
      </w:r>
      <w:r w:rsidR="001D15F6" w:rsidRPr="001D15F6">
        <w:rPr>
          <w:rFonts w:ascii="Times New Roman" w:hAnsi="Times New Roman" w:cs="Times New Roman"/>
          <w:sz w:val="20"/>
          <w:szCs w:val="20"/>
        </w:rPr>
        <w:t>.</w:t>
      </w:r>
    </w:p>
    <w:p w14:paraId="0C64F7F8" w14:textId="77777777"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La storia degli Amici ricopre un ruolo centrale anche all'interno di </w:t>
      </w:r>
      <w:r w:rsidRPr="001D15F6">
        <w:rPr>
          <w:rFonts w:ascii="Times New Roman" w:hAnsi="Times New Roman" w:cs="Times New Roman"/>
          <w:b/>
          <w:bCs/>
          <w:sz w:val="20"/>
          <w:szCs w:val="20"/>
        </w:rPr>
        <w:t>una seconda pubblicazione corale, edita da Moebius nell'autunno 2026, a cura di Pietro Bianchi</w:t>
      </w:r>
      <w:r w:rsidRPr="001D15F6">
        <w:rPr>
          <w:rFonts w:ascii="Times New Roman" w:hAnsi="Times New Roman" w:cs="Times New Roman"/>
          <w:sz w:val="20"/>
          <w:szCs w:val="20"/>
        </w:rPr>
        <w:t xml:space="preserve">. "Amici di Brera. Una grande storia 1926-2026" intende celebrare un secolo di passione per l'arte e di sostegno alla Pinacoteca di Brera </w:t>
      </w:r>
      <w:r w:rsidRPr="001D15F6">
        <w:rPr>
          <w:rFonts w:ascii="Times New Roman" w:hAnsi="Times New Roman" w:cs="Times New Roman"/>
          <w:b/>
          <w:bCs/>
          <w:sz w:val="20"/>
          <w:szCs w:val="20"/>
        </w:rPr>
        <w:t xml:space="preserve">dalla prospettiva degli Amici stessi: presidenti, consiglieri e soci </w:t>
      </w:r>
      <w:r w:rsidRPr="001D15F6">
        <w:rPr>
          <w:rFonts w:ascii="Times New Roman" w:hAnsi="Times New Roman" w:cs="Times New Roman"/>
          <w:sz w:val="20"/>
          <w:szCs w:val="20"/>
        </w:rPr>
        <w:t xml:space="preserve">che, con visione e impegno, hanno segnato le tappe dell’Associazione e della città di Milano. Nella prima parte si ripercorre la storia dell’istituzione attraverso le figure e gli eventi che ne hanno guidato l’evoluzione, mentre la seconda </w:t>
      </w:r>
      <w:r w:rsidRPr="001D15F6">
        <w:rPr>
          <w:rFonts w:ascii="Times New Roman" w:hAnsi="Times New Roman" w:cs="Times New Roman"/>
          <w:b/>
          <w:bCs/>
          <w:sz w:val="20"/>
          <w:szCs w:val="20"/>
        </w:rPr>
        <w:t>dà voce agli storici dell'arte</w:t>
      </w:r>
      <w:r w:rsidRPr="001D15F6">
        <w:rPr>
          <w:rFonts w:ascii="Times New Roman" w:hAnsi="Times New Roman" w:cs="Times New Roman"/>
          <w:sz w:val="20"/>
          <w:szCs w:val="20"/>
        </w:rPr>
        <w:t xml:space="preserve"> che collaborano con l'Associazione per raccontare le opere donate dagli Amici al museo. Una lettura appassionante, ma anche uno strumento di studio grazie a </w:t>
      </w:r>
      <w:r w:rsidRPr="001D15F6">
        <w:rPr>
          <w:rFonts w:ascii="Times New Roman" w:hAnsi="Times New Roman" w:cs="Times New Roman"/>
          <w:b/>
          <w:bCs/>
          <w:sz w:val="20"/>
          <w:szCs w:val="20"/>
        </w:rPr>
        <w:t>schede tecniche in grado di offrire inquadramenti critici, provenienze e contesti</w:t>
      </w:r>
      <w:r w:rsidRPr="001D15F6">
        <w:rPr>
          <w:rFonts w:ascii="Times New Roman" w:hAnsi="Times New Roman" w:cs="Times New Roman"/>
          <w:sz w:val="20"/>
          <w:szCs w:val="20"/>
        </w:rPr>
        <w:t xml:space="preserve"> e restituire il valore culturale delle donazioni.</w:t>
      </w:r>
    </w:p>
    <w:p w14:paraId="188994AD" w14:textId="4B810F0D"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Conclusi i </w:t>
      </w:r>
      <w:r w:rsidRPr="001D15F6">
        <w:rPr>
          <w:rFonts w:ascii="Times New Roman" w:hAnsi="Times New Roman" w:cs="Times New Roman"/>
          <w:b/>
          <w:bCs/>
          <w:sz w:val="20"/>
          <w:szCs w:val="20"/>
        </w:rPr>
        <w:t>lavori di restauro</w:t>
      </w:r>
      <w:r w:rsidRPr="001D15F6">
        <w:rPr>
          <w:rFonts w:ascii="Times New Roman" w:hAnsi="Times New Roman" w:cs="Times New Roman"/>
          <w:sz w:val="20"/>
          <w:szCs w:val="20"/>
        </w:rPr>
        <w:t xml:space="preserve"> su </w:t>
      </w:r>
      <w:r w:rsidRPr="001D15F6">
        <w:rPr>
          <w:rFonts w:ascii="Times New Roman" w:hAnsi="Times New Roman" w:cs="Times New Roman"/>
          <w:b/>
          <w:bCs/>
          <w:i/>
          <w:iCs/>
          <w:sz w:val="20"/>
          <w:szCs w:val="20"/>
        </w:rPr>
        <w:t>La Donna al sole</w:t>
      </w:r>
      <w:r w:rsidRPr="001D15F6">
        <w:rPr>
          <w:rFonts w:ascii="Times New Roman" w:hAnsi="Times New Roman" w:cs="Times New Roman"/>
          <w:b/>
          <w:bCs/>
          <w:sz w:val="20"/>
          <w:szCs w:val="20"/>
        </w:rPr>
        <w:t> di Arturo Martini</w:t>
      </w:r>
      <w:r w:rsidRPr="001D15F6">
        <w:rPr>
          <w:rFonts w:ascii="Times New Roman" w:hAnsi="Times New Roman" w:cs="Times New Roman"/>
          <w:sz w:val="20"/>
          <w:szCs w:val="20"/>
        </w:rPr>
        <w:t xml:space="preserve">, grazie al sostegno economico degli Amici in coordinamento con la dottoressa Marina Gargiulo, curatrice </w:t>
      </w:r>
      <w:r w:rsidRPr="001D15F6">
        <w:rPr>
          <w:rFonts w:ascii="Times New Roman" w:hAnsi="Times New Roman" w:cs="Times New Roman"/>
          <w:sz w:val="20"/>
          <w:szCs w:val="20"/>
        </w:rPr>
        <w:lastRenderedPageBreak/>
        <w:t xml:space="preserve">responsabile delle collezioni del XX secolo della Pinacoteca di Brera, la scultura troverà sede in modo permanente nelle sale di Palazzo Citterio. Appartenente alla fase più matura della produzione dell’artista, tra gli anni Venti e Trenta del Novecento, la figura femminile distesa, colta in un momento di sereno abbandono, è costruita su un perfetto equilibrio di forme, ritmi e proporzioni, ispirate alla classicità tradotte in un linguaggio moderno, essenziale e intensamente plastico. </w:t>
      </w:r>
    </w:p>
    <w:p w14:paraId="7119716F" w14:textId="77777777"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Al centro della mattinata, anche il </w:t>
      </w:r>
      <w:r w:rsidRPr="001D15F6">
        <w:rPr>
          <w:rFonts w:ascii="Times New Roman" w:hAnsi="Times New Roman" w:cs="Times New Roman"/>
          <w:b/>
          <w:bCs/>
          <w:sz w:val="20"/>
          <w:szCs w:val="20"/>
        </w:rPr>
        <w:t>rafforzamento delle collaborazioni già avviate</w:t>
      </w:r>
      <w:r w:rsidRPr="001D15F6">
        <w:rPr>
          <w:rFonts w:ascii="Times New Roman" w:hAnsi="Times New Roman" w:cs="Times New Roman"/>
          <w:sz w:val="20"/>
          <w:szCs w:val="20"/>
        </w:rPr>
        <w:t xml:space="preserve"> con le principali istituzioni culturali e non della città. Dopo le oltre 3.500 presenze registrate nel 2025, proseguirà anche nel 2027 </w:t>
      </w:r>
      <w:r w:rsidRPr="001D15F6">
        <w:rPr>
          <w:rFonts w:ascii="Times New Roman" w:hAnsi="Times New Roman" w:cs="Times New Roman"/>
          <w:b/>
          <w:bCs/>
          <w:i/>
          <w:iCs/>
          <w:sz w:val="20"/>
          <w:szCs w:val="20"/>
        </w:rPr>
        <w:t>Storie dell’Arte</w:t>
      </w:r>
      <w:r w:rsidRPr="001D15F6">
        <w:rPr>
          <w:rFonts w:ascii="Times New Roman" w:hAnsi="Times New Roman" w:cs="Times New Roman"/>
          <w:sz w:val="20"/>
          <w:szCs w:val="20"/>
        </w:rPr>
        <w:t xml:space="preserve">, format di Amici di Brera a cura di </w:t>
      </w:r>
      <w:proofErr w:type="spellStart"/>
      <w:r w:rsidRPr="001D15F6">
        <w:rPr>
          <w:rFonts w:ascii="Times New Roman" w:hAnsi="Times New Roman" w:cs="Times New Roman"/>
          <w:sz w:val="20"/>
          <w:szCs w:val="20"/>
        </w:rPr>
        <w:t>ArtsFor</w:t>
      </w:r>
      <w:proofErr w:type="spellEnd"/>
      <w:r w:rsidRPr="001D15F6">
        <w:rPr>
          <w:rFonts w:ascii="Times New Roman" w:hAnsi="Times New Roman" w:cs="Times New Roman"/>
          <w:sz w:val="20"/>
          <w:szCs w:val="20"/>
        </w:rPr>
        <w:t>, con la curatela scientifica di Marco Carminati, realizzato</w:t>
      </w:r>
      <w:r w:rsidRPr="001D15F6">
        <w:rPr>
          <w:rFonts w:ascii="Times New Roman" w:hAnsi="Times New Roman" w:cs="Times New Roman"/>
          <w:b/>
          <w:bCs/>
          <w:sz w:val="20"/>
          <w:szCs w:val="20"/>
        </w:rPr>
        <w:t> in collaborazione con</w:t>
      </w:r>
      <w:r w:rsidRPr="001D15F6">
        <w:rPr>
          <w:rFonts w:ascii="Times New Roman" w:hAnsi="Times New Roman" w:cs="Times New Roman"/>
          <w:sz w:val="20"/>
          <w:szCs w:val="20"/>
        </w:rPr>
        <w:t> </w:t>
      </w:r>
      <w:r w:rsidRPr="001D15F6">
        <w:rPr>
          <w:rFonts w:ascii="Times New Roman" w:hAnsi="Times New Roman" w:cs="Times New Roman"/>
          <w:b/>
          <w:bCs/>
          <w:sz w:val="20"/>
          <w:szCs w:val="20"/>
        </w:rPr>
        <w:t>Comune di Milano, Piccolo Teatro di Milano – Teatro d’Europa e con il supporto di Pinacoteca di Brera</w:t>
      </w:r>
      <w:r w:rsidRPr="001D15F6">
        <w:rPr>
          <w:rFonts w:ascii="Times New Roman" w:hAnsi="Times New Roman" w:cs="Times New Roman"/>
          <w:sz w:val="20"/>
          <w:szCs w:val="20"/>
        </w:rPr>
        <w:t xml:space="preserve"> </w:t>
      </w:r>
      <w:proofErr w:type="gramStart"/>
      <w:r w:rsidRPr="001D15F6">
        <w:rPr>
          <w:rFonts w:ascii="Times New Roman" w:hAnsi="Times New Roman" w:cs="Times New Roman"/>
          <w:sz w:val="20"/>
          <w:szCs w:val="20"/>
        </w:rPr>
        <w:t>ed</w:t>
      </w:r>
      <w:proofErr w:type="gramEnd"/>
      <w:r w:rsidRPr="001D15F6">
        <w:rPr>
          <w:rFonts w:ascii="Times New Roman" w:hAnsi="Times New Roman" w:cs="Times New Roman"/>
          <w:sz w:val="20"/>
          <w:szCs w:val="20"/>
        </w:rPr>
        <w:t xml:space="preserve"> Edison, l’Avvocato Carlo Pedersoli e A Come A come sponsor dell’edizione 2026.</w:t>
      </w:r>
    </w:p>
    <w:p w14:paraId="78219F30" w14:textId="77777777"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Se l'ultimo capitolo del 2026 sarà dedicato ai grandi movimenti del Novecento, il prossimo anno, una </w:t>
      </w:r>
      <w:r w:rsidRPr="001D15F6">
        <w:rPr>
          <w:rFonts w:ascii="Times New Roman" w:hAnsi="Times New Roman" w:cs="Times New Roman"/>
          <w:b/>
          <w:bCs/>
          <w:sz w:val="20"/>
          <w:szCs w:val="20"/>
        </w:rPr>
        <w:t xml:space="preserve">domenica mattina al mese saranno le Meraviglie del Mondo le protagoniste </w:t>
      </w:r>
      <w:r w:rsidRPr="001D15F6">
        <w:rPr>
          <w:rFonts w:ascii="Times New Roman" w:hAnsi="Times New Roman" w:cs="Times New Roman"/>
          <w:sz w:val="20"/>
          <w:szCs w:val="20"/>
        </w:rPr>
        <w:t>che accompagneranno il pubblico alla scoperta della bellezza e dell'arte quale memoria collettiva dell’umanità. Gli antichi ne avevano catalogate solo sette ma, di questi mirabili tesori, tutti sono tristemente scomparsi mentre uno solo si è salvato intatto: la piramide di Giza. A partire da una domanda aperta "Quali sarebbero le meraviglie del nostro mondo?" le sette meraviglie del nuovo mondo verranno così raddoppiate e raccontate in parallelo come fossero coppie di fatto.  </w:t>
      </w:r>
    </w:p>
    <w:p w14:paraId="3CE4FBFC" w14:textId="77777777" w:rsidR="006B3DCC" w:rsidRPr="001D15F6" w:rsidRDefault="006B3DCC" w:rsidP="00E543D6">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Il rinnovo della collaborazione con </w:t>
      </w:r>
      <w:r w:rsidRPr="001D15F6">
        <w:rPr>
          <w:rFonts w:ascii="Times New Roman" w:hAnsi="Times New Roman" w:cs="Times New Roman"/>
          <w:b/>
          <w:bCs/>
          <w:sz w:val="20"/>
          <w:szCs w:val="20"/>
        </w:rPr>
        <w:t>l'Orchestra Sinfonica di Milano</w:t>
      </w:r>
      <w:r w:rsidRPr="001D15F6">
        <w:rPr>
          <w:rFonts w:ascii="Times New Roman" w:hAnsi="Times New Roman" w:cs="Times New Roman"/>
          <w:sz w:val="20"/>
          <w:szCs w:val="20"/>
        </w:rPr>
        <w:t xml:space="preserve"> porterà a una convenzione per la Stagione 2026-27, al lancio in primavera di un corso dedicato al dialogo tra musica e arte e alla realizzazione di una lectio a cura del Vicepresidente degli Amici di Brera Prof. Marco Carminati in programma a gennaio sul tema dell’incompiutezza in apertura del concerto in cui l’Orchestra Sinfonica eseguirà il Requiem di Mozart.</w:t>
      </w:r>
    </w:p>
    <w:p w14:paraId="1962D5F7" w14:textId="02BF7B1B" w:rsidR="001D15F6" w:rsidRDefault="006B3DCC" w:rsidP="00A82892">
      <w:pPr>
        <w:ind w:left="-227"/>
        <w:jc w:val="both"/>
        <w:rPr>
          <w:rFonts w:ascii="Times New Roman" w:hAnsi="Times New Roman" w:cs="Times New Roman"/>
          <w:sz w:val="20"/>
          <w:szCs w:val="20"/>
        </w:rPr>
      </w:pPr>
      <w:r w:rsidRPr="001D15F6">
        <w:rPr>
          <w:rFonts w:ascii="Times New Roman" w:hAnsi="Times New Roman" w:cs="Times New Roman"/>
          <w:sz w:val="20"/>
          <w:szCs w:val="20"/>
        </w:rPr>
        <w:t xml:space="preserve">Entro la fine dell’anno, infine, un altro virtuoso incontro con </w:t>
      </w:r>
      <w:r w:rsidRPr="001D15F6">
        <w:rPr>
          <w:rFonts w:ascii="Times New Roman" w:hAnsi="Times New Roman" w:cs="Times New Roman"/>
          <w:b/>
          <w:bCs/>
          <w:sz w:val="20"/>
          <w:szCs w:val="20"/>
        </w:rPr>
        <w:t>un'altra eccellenza della città di Milano</w:t>
      </w:r>
      <w:r w:rsidRPr="001D15F6">
        <w:rPr>
          <w:rFonts w:ascii="Times New Roman" w:hAnsi="Times New Roman" w:cs="Times New Roman"/>
          <w:sz w:val="20"/>
          <w:szCs w:val="20"/>
        </w:rPr>
        <w:t xml:space="preserve">: Amici di Brera porterà alcune riproduzioni dei capolavori della Pinacoteca di Brera e di Palazzo Citterio all’interno della </w:t>
      </w:r>
      <w:r w:rsidRPr="001D15F6">
        <w:rPr>
          <w:rFonts w:ascii="Times New Roman" w:hAnsi="Times New Roman" w:cs="Times New Roman"/>
          <w:b/>
          <w:bCs/>
          <w:sz w:val="20"/>
          <w:szCs w:val="20"/>
        </w:rPr>
        <w:t>nuova palazzina ambulatoriale della Fondazione I.R.C.C.S. Istituto Neurologico Carlo Besta, creando un dialogo inedito tra arte e cura</w:t>
      </w:r>
      <w:r w:rsidRPr="001D15F6">
        <w:rPr>
          <w:rFonts w:ascii="Times New Roman" w:hAnsi="Times New Roman" w:cs="Times New Roman"/>
          <w:sz w:val="20"/>
          <w:szCs w:val="20"/>
        </w:rPr>
        <w:t>. Nato dalla volontà di rendere gli spazi dell’ospedale più accoglienti e capaci di trasmettere, attraverso la bellezza, un messaggio di cura, condivisione e speranza, il progetto intende avvicinare l’arte alle persone e diffondere in un luogo di cura la ricchezza e l’emozione del patrimonio storico-artistico milanese.</w:t>
      </w:r>
    </w:p>
    <w:p w14:paraId="50F92205" w14:textId="77777777" w:rsidR="00A82892" w:rsidRPr="00A82892" w:rsidRDefault="00A82892" w:rsidP="00A82892">
      <w:pPr>
        <w:jc w:val="both"/>
        <w:rPr>
          <w:rFonts w:ascii="Times New Roman" w:hAnsi="Times New Roman" w:cs="Times New Roman"/>
          <w:sz w:val="20"/>
          <w:szCs w:val="20"/>
        </w:rPr>
      </w:pPr>
    </w:p>
    <w:p w14:paraId="6A6F4090" w14:textId="483783EF" w:rsidR="006B3DCC" w:rsidRPr="001D15F6" w:rsidRDefault="006B3DCC" w:rsidP="00E543D6">
      <w:pPr>
        <w:spacing w:after="0" w:line="276" w:lineRule="auto"/>
        <w:ind w:left="-227"/>
        <w:jc w:val="both"/>
        <w:rPr>
          <w:rFonts w:ascii="Times New Roman" w:hAnsi="Times New Roman" w:cs="Times New Roman"/>
          <w:sz w:val="20"/>
          <w:szCs w:val="20"/>
        </w:rPr>
      </w:pPr>
      <w:r w:rsidRPr="001D15F6">
        <w:rPr>
          <w:rFonts w:ascii="Times New Roman" w:hAnsi="Times New Roman" w:cs="Times New Roman"/>
          <w:b/>
          <w:bCs/>
          <w:sz w:val="20"/>
          <w:szCs w:val="20"/>
        </w:rPr>
        <w:t>Contatti Ufficio Stampa</w:t>
      </w:r>
    </w:p>
    <w:p w14:paraId="490CC6F4" w14:textId="77777777" w:rsidR="006B3DCC" w:rsidRPr="001D15F6" w:rsidRDefault="006B3DCC" w:rsidP="00E543D6">
      <w:pPr>
        <w:spacing w:after="0" w:line="276" w:lineRule="auto"/>
        <w:ind w:left="-227"/>
        <w:jc w:val="both"/>
        <w:rPr>
          <w:rFonts w:ascii="Times New Roman" w:hAnsi="Times New Roman" w:cs="Times New Roman"/>
          <w:sz w:val="20"/>
          <w:szCs w:val="20"/>
        </w:rPr>
      </w:pPr>
      <w:r w:rsidRPr="001D15F6">
        <w:rPr>
          <w:rFonts w:ascii="Times New Roman" w:hAnsi="Times New Roman" w:cs="Times New Roman"/>
          <w:b/>
          <w:bCs/>
          <w:sz w:val="20"/>
          <w:szCs w:val="20"/>
        </w:rPr>
        <w:t>Bovindo</w:t>
      </w:r>
    </w:p>
    <w:p w14:paraId="0A395509" w14:textId="77777777" w:rsidR="006B3DCC" w:rsidRPr="001D15F6" w:rsidRDefault="006B3DCC" w:rsidP="00E543D6">
      <w:pPr>
        <w:spacing w:after="0" w:line="276" w:lineRule="auto"/>
        <w:ind w:left="-227"/>
        <w:jc w:val="both"/>
        <w:rPr>
          <w:rFonts w:ascii="Times New Roman" w:hAnsi="Times New Roman" w:cs="Times New Roman"/>
          <w:sz w:val="20"/>
          <w:szCs w:val="20"/>
        </w:rPr>
      </w:pPr>
      <w:r w:rsidRPr="001D15F6">
        <w:rPr>
          <w:rFonts w:ascii="Times New Roman" w:hAnsi="Times New Roman" w:cs="Times New Roman"/>
          <w:sz w:val="20"/>
          <w:szCs w:val="20"/>
        </w:rPr>
        <w:t>Edoardo Caprino | </w:t>
      </w:r>
      <w:hyperlink r:id="rId10" w:history="1">
        <w:r w:rsidRPr="001D15F6">
          <w:rPr>
            <w:rStyle w:val="Collegamentoipertestuale"/>
            <w:rFonts w:ascii="Times New Roman" w:hAnsi="Times New Roman" w:cs="Times New Roman"/>
            <w:sz w:val="20"/>
            <w:szCs w:val="20"/>
          </w:rPr>
          <w:t>e.caprino@bovindo.it</w:t>
        </w:r>
      </w:hyperlink>
    </w:p>
    <w:p w14:paraId="68057A24" w14:textId="7FB7343A" w:rsidR="00030AC3" w:rsidRPr="001D15F6" w:rsidRDefault="006B3DCC" w:rsidP="001D15F6">
      <w:pPr>
        <w:spacing w:after="0" w:line="276" w:lineRule="auto"/>
        <w:ind w:left="-227"/>
        <w:jc w:val="both"/>
        <w:rPr>
          <w:rFonts w:ascii="Times New Roman" w:hAnsi="Times New Roman" w:cs="Times New Roman"/>
          <w:sz w:val="20"/>
          <w:szCs w:val="20"/>
        </w:rPr>
      </w:pPr>
      <w:r w:rsidRPr="001D15F6">
        <w:rPr>
          <w:rFonts w:ascii="Times New Roman" w:hAnsi="Times New Roman" w:cs="Times New Roman"/>
          <w:sz w:val="20"/>
          <w:szCs w:val="20"/>
        </w:rPr>
        <w:t>Silvia Faraci | </w:t>
      </w:r>
      <w:hyperlink r:id="rId11" w:history="1">
        <w:r w:rsidRPr="001D15F6">
          <w:rPr>
            <w:rStyle w:val="Collegamentoipertestuale"/>
            <w:rFonts w:ascii="Times New Roman" w:hAnsi="Times New Roman" w:cs="Times New Roman"/>
            <w:sz w:val="20"/>
            <w:szCs w:val="20"/>
          </w:rPr>
          <w:t>s.faraci@bovindo.it</w:t>
        </w:r>
      </w:hyperlink>
      <w:r w:rsidRPr="001D15F6">
        <w:rPr>
          <w:rFonts w:ascii="Times New Roman" w:hAnsi="Times New Roman" w:cs="Times New Roman"/>
          <w:sz w:val="20"/>
          <w:szCs w:val="20"/>
        </w:rPr>
        <w:t> | </w:t>
      </w:r>
      <w:hyperlink r:id="rId12" w:history="1">
        <w:r w:rsidRPr="001D15F6">
          <w:rPr>
            <w:rStyle w:val="Collegamentoipertestuale"/>
            <w:rFonts w:ascii="Times New Roman" w:hAnsi="Times New Roman" w:cs="Times New Roman"/>
            <w:sz w:val="20"/>
            <w:szCs w:val="20"/>
            <w:u w:val="none"/>
          </w:rPr>
          <w:t>380 783 3204</w:t>
        </w:r>
      </w:hyperlink>
    </w:p>
    <w:sectPr w:rsidR="00030AC3" w:rsidRPr="001D15F6" w:rsidSect="00A82892">
      <w:headerReference w:type="even" r:id="rId13"/>
      <w:headerReference w:type="default" r:id="rId14"/>
      <w:footerReference w:type="even" r:id="rId15"/>
      <w:footerReference w:type="default" r:id="rId16"/>
      <w:headerReference w:type="first" r:id="rId17"/>
      <w:footerReference w:type="first" r:id="rId18"/>
      <w:pgSz w:w="11900" w:h="16840"/>
      <w:pgMar w:top="2552" w:right="1134" w:bottom="1848" w:left="396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C0863" w14:textId="77777777" w:rsidR="00E0492C" w:rsidRDefault="00E0492C">
      <w:pPr>
        <w:spacing w:after="0" w:line="240" w:lineRule="auto"/>
      </w:pPr>
      <w:r>
        <w:separator/>
      </w:r>
    </w:p>
  </w:endnote>
  <w:endnote w:type="continuationSeparator" w:id="0">
    <w:p w14:paraId="7D3C0D0E" w14:textId="77777777" w:rsidR="00E0492C" w:rsidRDefault="00E0492C">
      <w:pPr>
        <w:spacing w:after="0" w:line="240" w:lineRule="auto"/>
      </w:pPr>
      <w:r>
        <w:continuationSeparator/>
      </w:r>
    </w:p>
  </w:endnote>
  <w:endnote w:type="continuationNotice" w:id="1">
    <w:p w14:paraId="0BA16045" w14:textId="77777777" w:rsidR="00E0492C" w:rsidRDefault="00E049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2916" w14:textId="77777777" w:rsidR="00A82892" w:rsidRDefault="00A8289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83062" w14:textId="77777777" w:rsidR="00A82892" w:rsidRDefault="00A8289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4C0E" w14:textId="77777777" w:rsidR="000B6EDA" w:rsidRDefault="000B6EDA">
    <w:pPr>
      <w:pStyle w:val="Pidipagina"/>
      <w:tabs>
        <w:tab w:val="clear" w:pos="9638"/>
        <w:tab w:val="right" w:pos="67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D175B" w14:textId="77777777" w:rsidR="00E0492C" w:rsidRDefault="00E0492C">
      <w:pPr>
        <w:spacing w:after="0" w:line="240" w:lineRule="auto"/>
      </w:pPr>
      <w:r>
        <w:separator/>
      </w:r>
    </w:p>
  </w:footnote>
  <w:footnote w:type="continuationSeparator" w:id="0">
    <w:p w14:paraId="15C19B2D" w14:textId="77777777" w:rsidR="00E0492C" w:rsidRDefault="00E0492C">
      <w:pPr>
        <w:spacing w:after="0" w:line="240" w:lineRule="auto"/>
      </w:pPr>
      <w:r>
        <w:continuationSeparator/>
      </w:r>
    </w:p>
  </w:footnote>
  <w:footnote w:type="continuationNotice" w:id="1">
    <w:p w14:paraId="0026114A" w14:textId="77777777" w:rsidR="00E0492C" w:rsidRDefault="00E049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3838" w14:textId="77777777" w:rsidR="00A82892" w:rsidRDefault="00A8289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6AC4" w14:textId="33E04C26" w:rsidR="000B6EDA" w:rsidRDefault="00E543D6">
    <w:pPr>
      <w:pStyle w:val="Intestazione"/>
      <w:tabs>
        <w:tab w:val="clear" w:pos="9638"/>
        <w:tab w:val="right" w:pos="6777"/>
      </w:tabs>
    </w:pPr>
    <w:r>
      <w:rPr>
        <w:noProof/>
      </w:rPr>
      <w:drawing>
        <wp:anchor distT="0" distB="0" distL="114300" distR="114300" simplePos="0" relativeHeight="251661315" behindDoc="0" locked="0" layoutInCell="1" allowOverlap="1" wp14:anchorId="472A7A19" wp14:editId="7ECAB2B7">
          <wp:simplePos x="0" y="0"/>
          <wp:positionH relativeFrom="margin">
            <wp:align>right</wp:align>
          </wp:positionH>
          <wp:positionV relativeFrom="paragraph">
            <wp:posOffset>126153</wp:posOffset>
          </wp:positionV>
          <wp:extent cx="4500245" cy="1094105"/>
          <wp:effectExtent l="0" t="0" r="0" b="0"/>
          <wp:wrapThrough wrapText="bothSides">
            <wp:wrapPolygon edited="0">
              <wp:start x="0" y="0"/>
              <wp:lineTo x="0" y="21061"/>
              <wp:lineTo x="21487" y="21061"/>
              <wp:lineTo x="21487" y="0"/>
              <wp:lineTo x="0" y="0"/>
            </wp:wrapPolygon>
          </wp:wrapThrough>
          <wp:docPr id="79335367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
                    <a:extLst>
                      <a:ext uri="{28A0092B-C50C-407E-A947-70E740481C1C}">
                        <a14:useLocalDpi xmlns:a14="http://schemas.microsoft.com/office/drawing/2010/main" val="0"/>
                      </a:ext>
                    </a:extLst>
                  </a:blip>
                  <a:srcRect t="15639" b="17464"/>
                  <a:stretch>
                    <a:fillRect/>
                  </a:stretch>
                </pic:blipFill>
                <pic:spPr bwMode="auto">
                  <a:xfrm>
                    <a:off x="0" y="0"/>
                    <a:ext cx="4500245" cy="1094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152400" distB="152400" distL="152400" distR="152400" simplePos="0" relativeHeight="251658240" behindDoc="1" locked="0" layoutInCell="1" allowOverlap="1" wp14:anchorId="4CAB8049" wp14:editId="21CDF7F7">
          <wp:simplePos x="0" y="0"/>
          <wp:positionH relativeFrom="page">
            <wp:posOffset>-124691</wp:posOffset>
          </wp:positionH>
          <wp:positionV relativeFrom="page">
            <wp:posOffset>124460</wp:posOffset>
          </wp:positionV>
          <wp:extent cx="2160000" cy="2703600"/>
          <wp:effectExtent l="0" t="0" r="0" b="1905"/>
          <wp:wrapNone/>
          <wp:docPr id="1073741825"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2"/>
                  <a:stretch>
                    <a:fillRect/>
                  </a:stretch>
                </pic:blipFill>
                <pic:spPr>
                  <a:xfrm>
                    <a:off x="0" y="0"/>
                    <a:ext cx="2160000" cy="27036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98DD" w14:textId="1720440E" w:rsidR="006B3DCC" w:rsidRDefault="00804014">
    <w:pPr>
      <w:pStyle w:val="Intestazione"/>
      <w:tabs>
        <w:tab w:val="clear" w:pos="9638"/>
        <w:tab w:val="right" w:pos="6777"/>
      </w:tabs>
    </w:pPr>
    <w:r>
      <w:rPr>
        <w:noProof/>
      </w:rPr>
      <w:drawing>
        <wp:anchor distT="152400" distB="152400" distL="152400" distR="152400" simplePos="0" relativeHeight="251663363" behindDoc="0" locked="0" layoutInCell="1" allowOverlap="1" wp14:anchorId="4BDF9325" wp14:editId="42C7164B">
          <wp:simplePos x="0" y="0"/>
          <wp:positionH relativeFrom="page">
            <wp:posOffset>-184604</wp:posOffset>
          </wp:positionH>
          <wp:positionV relativeFrom="page">
            <wp:posOffset>87085</wp:posOffset>
          </wp:positionV>
          <wp:extent cx="2231571" cy="2862943"/>
          <wp:effectExtent l="0" t="0" r="0" b="0"/>
          <wp:wrapNone/>
          <wp:docPr id="1767993916"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231571" cy="286294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543D6">
      <w:rPr>
        <w:noProof/>
      </w:rPr>
      <w:drawing>
        <wp:anchor distT="0" distB="0" distL="114300" distR="114300" simplePos="0" relativeHeight="251659267" behindDoc="0" locked="0" layoutInCell="1" allowOverlap="1" wp14:anchorId="2414ED13" wp14:editId="1EB44701">
          <wp:simplePos x="0" y="0"/>
          <wp:positionH relativeFrom="margin">
            <wp:align>right</wp:align>
          </wp:positionH>
          <wp:positionV relativeFrom="paragraph">
            <wp:posOffset>36830</wp:posOffset>
          </wp:positionV>
          <wp:extent cx="4500245" cy="1094105"/>
          <wp:effectExtent l="0" t="0" r="0" b="0"/>
          <wp:wrapThrough wrapText="bothSides">
            <wp:wrapPolygon edited="0">
              <wp:start x="0" y="0"/>
              <wp:lineTo x="0" y="21061"/>
              <wp:lineTo x="21487" y="21061"/>
              <wp:lineTo x="21487" y="0"/>
              <wp:lineTo x="0" y="0"/>
            </wp:wrapPolygon>
          </wp:wrapThrough>
          <wp:docPr id="5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2">
                    <a:extLst>
                      <a:ext uri="{28A0092B-C50C-407E-A947-70E740481C1C}">
                        <a14:useLocalDpi xmlns:a14="http://schemas.microsoft.com/office/drawing/2010/main" val="0"/>
                      </a:ext>
                    </a:extLst>
                  </a:blip>
                  <a:srcRect t="15639" b="17464"/>
                  <a:stretch>
                    <a:fillRect/>
                  </a:stretch>
                </pic:blipFill>
                <pic:spPr bwMode="auto">
                  <a:xfrm>
                    <a:off x="0" y="0"/>
                    <a:ext cx="4500245" cy="1094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3853A7" w14:textId="77777777" w:rsidR="006B3DCC" w:rsidRDefault="006B3DCC">
    <w:pPr>
      <w:pStyle w:val="Intestazione"/>
      <w:tabs>
        <w:tab w:val="clear" w:pos="9638"/>
        <w:tab w:val="right" w:pos="6777"/>
      </w:tabs>
    </w:pPr>
  </w:p>
  <w:p w14:paraId="2293C2F2" w14:textId="4CAA028D" w:rsidR="000B6EDA" w:rsidRDefault="009A42B0">
    <w:pPr>
      <w:pStyle w:val="Intestazione"/>
      <w:tabs>
        <w:tab w:val="clear" w:pos="9638"/>
        <w:tab w:val="right" w:pos="6777"/>
      </w:tabs>
    </w:pPr>
    <w:r>
      <w:rPr>
        <w:noProof/>
      </w:rPr>
      <w:drawing>
        <wp:anchor distT="152400" distB="152400" distL="152400" distR="152400" simplePos="0" relativeHeight="251658242" behindDoc="1" locked="0" layoutInCell="1" allowOverlap="1" wp14:anchorId="75664CEC" wp14:editId="70A20313">
          <wp:simplePos x="0" y="0"/>
          <wp:positionH relativeFrom="page">
            <wp:posOffset>5753627</wp:posOffset>
          </wp:positionH>
          <wp:positionV relativeFrom="page">
            <wp:posOffset>9731375</wp:posOffset>
          </wp:positionV>
          <wp:extent cx="1789200" cy="903600"/>
          <wp:effectExtent l="0" t="0" r="0" b="0"/>
          <wp:wrapNone/>
          <wp:docPr id="1073741827" name="officeArt object" descr="Immagine che contiene testo, Carattere, Elementi grafici,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7" name="Immagine che contiene testo, Carattere, Elementi grafici, designDescrizione generata automaticamente" descr="Immagine che contiene testo, Carattere, Elementi grafici, designDescrizione generata automaticamente"/>
                  <pic:cNvPicPr>
                    <a:picLocks noChangeAspect="1"/>
                  </pic:cNvPicPr>
                </pic:nvPicPr>
                <pic:blipFill>
                  <a:blip r:embed="rId3"/>
                  <a:stretch>
                    <a:fillRect/>
                  </a:stretch>
                </pic:blipFill>
                <pic:spPr>
                  <a:xfrm>
                    <a:off x="0" y="0"/>
                    <a:ext cx="1789200" cy="9036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3" behindDoc="1" locked="0" layoutInCell="1" allowOverlap="1" wp14:anchorId="125CEE29" wp14:editId="122950EC">
              <wp:simplePos x="0" y="0"/>
              <wp:positionH relativeFrom="page">
                <wp:posOffset>799650</wp:posOffset>
              </wp:positionH>
              <wp:positionV relativeFrom="page">
                <wp:posOffset>9688830</wp:posOffset>
              </wp:positionV>
              <wp:extent cx="1463784" cy="609600"/>
              <wp:effectExtent l="0" t="0" r="0" b="0"/>
              <wp:wrapNone/>
              <wp:docPr id="1073741828" name="officeArt object" descr="Casella di testo 3"/>
              <wp:cNvGraphicFramePr/>
              <a:graphic xmlns:a="http://schemas.openxmlformats.org/drawingml/2006/main">
                <a:graphicData uri="http://schemas.microsoft.com/office/word/2010/wordprocessingShape">
                  <wps:wsp>
                    <wps:cNvSpPr txBox="1"/>
                    <wps:spPr>
                      <a:xfrm>
                        <a:off x="0" y="0"/>
                        <a:ext cx="1463784" cy="609600"/>
                      </a:xfrm>
                      <a:prstGeom prst="rect">
                        <a:avLst/>
                      </a:prstGeom>
                      <a:noFill/>
                      <a:ln w="12700" cap="flat">
                        <a:noFill/>
                        <a:miter lim="400000"/>
                      </a:ln>
                      <a:effectLst/>
                    </wps:spPr>
                    <wps:txbx>
                      <w:txbxContent>
                        <w:p w14:paraId="56121FC9" w14:textId="635BB8F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28 |</w:t>
                          </w:r>
                          <w:r>
                            <w:rPr>
                              <w:rFonts w:ascii="Arial" w:hAnsi="Arial"/>
                              <w:sz w:val="15"/>
                              <w:szCs w:val="15"/>
                            </w:rPr>
                            <w:t xml:space="preserve"> 20121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4"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wps:txbx>
                    <wps:bodyPr wrap="square" lIns="0" tIns="0" rIns="0" bIns="0" numCol="1" anchor="t">
                      <a:noAutofit/>
                    </wps:bodyPr>
                  </wps:wsp>
                </a:graphicData>
              </a:graphic>
            </wp:anchor>
          </w:drawing>
        </mc:Choice>
        <mc:Fallback>
          <w:pict>
            <v:shapetype w14:anchorId="125CEE29" id="_x0000_t202" coordsize="21600,21600" o:spt="202" path="m,l,21600r21600,l21600,xe">
              <v:stroke joinstyle="miter"/>
              <v:path gradientshapeok="t" o:connecttype="rect"/>
            </v:shapetype>
            <v:shape id="officeArt object" o:spid="_x0000_s1026" type="#_x0000_t202" alt="Casella di testo 3" style="position:absolute;margin-left:62.95pt;margin-top:762.9pt;width:115.25pt;height:48pt;z-index:-25165823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" filled="f" stroked="f" strokeweight="1pt">
              <v:stroke miterlimit="4"/>
              <v:textbox inset="0,0,0,0">
                <w:txbxContent>
                  <w:p w14:paraId="56121FC9" w14:textId="635BB8F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28 |</w:t>
                    </w:r>
                    <w:r>
                      <w:rPr>
                        <w:rFonts w:ascii="Arial" w:hAnsi="Arial"/>
                        <w:sz w:val="15"/>
                        <w:szCs w:val="15"/>
                      </w:rPr>
                      <w:t xml:space="preserve"> 20121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5"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EDA"/>
    <w:rsid w:val="00003601"/>
    <w:rsid w:val="00026FAD"/>
    <w:rsid w:val="00030AC3"/>
    <w:rsid w:val="00045905"/>
    <w:rsid w:val="00056E2B"/>
    <w:rsid w:val="00081A63"/>
    <w:rsid w:val="000A09B1"/>
    <w:rsid w:val="000B5552"/>
    <w:rsid w:val="000B6EDA"/>
    <w:rsid w:val="000D01F6"/>
    <w:rsid w:val="000D02D5"/>
    <w:rsid w:val="000D195A"/>
    <w:rsid w:val="000D4B78"/>
    <w:rsid w:val="000D5642"/>
    <w:rsid w:val="00102395"/>
    <w:rsid w:val="00126749"/>
    <w:rsid w:val="001302B7"/>
    <w:rsid w:val="001626D3"/>
    <w:rsid w:val="001719DF"/>
    <w:rsid w:val="00171D83"/>
    <w:rsid w:val="001731C0"/>
    <w:rsid w:val="00174420"/>
    <w:rsid w:val="001836CE"/>
    <w:rsid w:val="001859AD"/>
    <w:rsid w:val="001B2481"/>
    <w:rsid w:val="001B4084"/>
    <w:rsid w:val="001B68C3"/>
    <w:rsid w:val="001C6F01"/>
    <w:rsid w:val="001D15F6"/>
    <w:rsid w:val="001E1719"/>
    <w:rsid w:val="001F15E3"/>
    <w:rsid w:val="001F70CD"/>
    <w:rsid w:val="00217728"/>
    <w:rsid w:val="00235BD7"/>
    <w:rsid w:val="002510BC"/>
    <w:rsid w:val="00276C42"/>
    <w:rsid w:val="00277C94"/>
    <w:rsid w:val="00281D35"/>
    <w:rsid w:val="002822B7"/>
    <w:rsid w:val="0028630E"/>
    <w:rsid w:val="002868B8"/>
    <w:rsid w:val="00297593"/>
    <w:rsid w:val="002A5011"/>
    <w:rsid w:val="002A70B0"/>
    <w:rsid w:val="002D085C"/>
    <w:rsid w:val="002D4FF2"/>
    <w:rsid w:val="0030544B"/>
    <w:rsid w:val="00316985"/>
    <w:rsid w:val="00316C3E"/>
    <w:rsid w:val="0031737E"/>
    <w:rsid w:val="00317709"/>
    <w:rsid w:val="00332806"/>
    <w:rsid w:val="003621E9"/>
    <w:rsid w:val="003673C7"/>
    <w:rsid w:val="00375C28"/>
    <w:rsid w:val="00381FCD"/>
    <w:rsid w:val="003C3D33"/>
    <w:rsid w:val="003E4748"/>
    <w:rsid w:val="003E7041"/>
    <w:rsid w:val="003F73C2"/>
    <w:rsid w:val="0043017E"/>
    <w:rsid w:val="00431C95"/>
    <w:rsid w:val="004450D2"/>
    <w:rsid w:val="00450CCE"/>
    <w:rsid w:val="00452ACE"/>
    <w:rsid w:val="0045452A"/>
    <w:rsid w:val="004556D0"/>
    <w:rsid w:val="00455C09"/>
    <w:rsid w:val="00473339"/>
    <w:rsid w:val="00493B21"/>
    <w:rsid w:val="004957DC"/>
    <w:rsid w:val="004E2103"/>
    <w:rsid w:val="00505D82"/>
    <w:rsid w:val="00506A8B"/>
    <w:rsid w:val="00512C4A"/>
    <w:rsid w:val="00512FCC"/>
    <w:rsid w:val="00514CCC"/>
    <w:rsid w:val="00531596"/>
    <w:rsid w:val="00567893"/>
    <w:rsid w:val="00572EFD"/>
    <w:rsid w:val="005A1E34"/>
    <w:rsid w:val="005B54B9"/>
    <w:rsid w:val="005E67BD"/>
    <w:rsid w:val="005F6DEE"/>
    <w:rsid w:val="00606BD6"/>
    <w:rsid w:val="00620E3C"/>
    <w:rsid w:val="0062566F"/>
    <w:rsid w:val="00625B34"/>
    <w:rsid w:val="00653632"/>
    <w:rsid w:val="006802B6"/>
    <w:rsid w:val="00682AC9"/>
    <w:rsid w:val="006948FD"/>
    <w:rsid w:val="0069719F"/>
    <w:rsid w:val="006B3DCC"/>
    <w:rsid w:val="006D278C"/>
    <w:rsid w:val="006F1ECC"/>
    <w:rsid w:val="006F2EE2"/>
    <w:rsid w:val="006F6778"/>
    <w:rsid w:val="00700BAB"/>
    <w:rsid w:val="00712C50"/>
    <w:rsid w:val="0072737A"/>
    <w:rsid w:val="00755036"/>
    <w:rsid w:val="00775776"/>
    <w:rsid w:val="007B27A0"/>
    <w:rsid w:val="007B7321"/>
    <w:rsid w:val="007D684C"/>
    <w:rsid w:val="00804014"/>
    <w:rsid w:val="00804FE9"/>
    <w:rsid w:val="00806603"/>
    <w:rsid w:val="00814836"/>
    <w:rsid w:val="00825485"/>
    <w:rsid w:val="0084266B"/>
    <w:rsid w:val="00843937"/>
    <w:rsid w:val="00876189"/>
    <w:rsid w:val="0088197F"/>
    <w:rsid w:val="008820BC"/>
    <w:rsid w:val="008A14E9"/>
    <w:rsid w:val="008A7871"/>
    <w:rsid w:val="008B2C4F"/>
    <w:rsid w:val="008B2D28"/>
    <w:rsid w:val="008B3B57"/>
    <w:rsid w:val="008B3C3B"/>
    <w:rsid w:val="008E1992"/>
    <w:rsid w:val="008E4DC5"/>
    <w:rsid w:val="008E68AF"/>
    <w:rsid w:val="0093406D"/>
    <w:rsid w:val="009469D4"/>
    <w:rsid w:val="00962A82"/>
    <w:rsid w:val="0098538F"/>
    <w:rsid w:val="00986392"/>
    <w:rsid w:val="00993662"/>
    <w:rsid w:val="009947A6"/>
    <w:rsid w:val="009A239F"/>
    <w:rsid w:val="009A42B0"/>
    <w:rsid w:val="009A658D"/>
    <w:rsid w:val="009C2896"/>
    <w:rsid w:val="009E47CD"/>
    <w:rsid w:val="009F3B9B"/>
    <w:rsid w:val="00A1103D"/>
    <w:rsid w:val="00A14C34"/>
    <w:rsid w:val="00A2152D"/>
    <w:rsid w:val="00A37476"/>
    <w:rsid w:val="00A37789"/>
    <w:rsid w:val="00A55BEE"/>
    <w:rsid w:val="00A6076D"/>
    <w:rsid w:val="00A6308E"/>
    <w:rsid w:val="00A64F8F"/>
    <w:rsid w:val="00A70D5B"/>
    <w:rsid w:val="00A7341D"/>
    <w:rsid w:val="00A80237"/>
    <w:rsid w:val="00A82892"/>
    <w:rsid w:val="00A91D78"/>
    <w:rsid w:val="00AA352D"/>
    <w:rsid w:val="00AA5964"/>
    <w:rsid w:val="00AD4D36"/>
    <w:rsid w:val="00AF692E"/>
    <w:rsid w:val="00B20733"/>
    <w:rsid w:val="00B2111F"/>
    <w:rsid w:val="00B26BB5"/>
    <w:rsid w:val="00B273D8"/>
    <w:rsid w:val="00B3732F"/>
    <w:rsid w:val="00B453B1"/>
    <w:rsid w:val="00B606BD"/>
    <w:rsid w:val="00B75A51"/>
    <w:rsid w:val="00BA5CB2"/>
    <w:rsid w:val="00BA7A72"/>
    <w:rsid w:val="00BB284B"/>
    <w:rsid w:val="00BD3D57"/>
    <w:rsid w:val="00BD473A"/>
    <w:rsid w:val="00BF0622"/>
    <w:rsid w:val="00BF086A"/>
    <w:rsid w:val="00BF64FD"/>
    <w:rsid w:val="00C05107"/>
    <w:rsid w:val="00C25599"/>
    <w:rsid w:val="00C56580"/>
    <w:rsid w:val="00C570CD"/>
    <w:rsid w:val="00C6052E"/>
    <w:rsid w:val="00C653D4"/>
    <w:rsid w:val="00C9141C"/>
    <w:rsid w:val="00CA3439"/>
    <w:rsid w:val="00CB3AFC"/>
    <w:rsid w:val="00CE210C"/>
    <w:rsid w:val="00CE791C"/>
    <w:rsid w:val="00CF06A0"/>
    <w:rsid w:val="00D0407F"/>
    <w:rsid w:val="00D13E95"/>
    <w:rsid w:val="00D157FE"/>
    <w:rsid w:val="00D21362"/>
    <w:rsid w:val="00D4085B"/>
    <w:rsid w:val="00D4206B"/>
    <w:rsid w:val="00D513AC"/>
    <w:rsid w:val="00D51BC2"/>
    <w:rsid w:val="00D60B5C"/>
    <w:rsid w:val="00D734A4"/>
    <w:rsid w:val="00D92081"/>
    <w:rsid w:val="00D94B1B"/>
    <w:rsid w:val="00DA3006"/>
    <w:rsid w:val="00DB36B7"/>
    <w:rsid w:val="00DB47D5"/>
    <w:rsid w:val="00DC6677"/>
    <w:rsid w:val="00DE4EF1"/>
    <w:rsid w:val="00E0492C"/>
    <w:rsid w:val="00E05975"/>
    <w:rsid w:val="00E1028E"/>
    <w:rsid w:val="00E232D2"/>
    <w:rsid w:val="00E44C77"/>
    <w:rsid w:val="00E46240"/>
    <w:rsid w:val="00E500C9"/>
    <w:rsid w:val="00E543D6"/>
    <w:rsid w:val="00E574DB"/>
    <w:rsid w:val="00E82251"/>
    <w:rsid w:val="00EB47BF"/>
    <w:rsid w:val="00EC243A"/>
    <w:rsid w:val="00EC2A8B"/>
    <w:rsid w:val="00EC30E2"/>
    <w:rsid w:val="00EE3A7E"/>
    <w:rsid w:val="00F0104D"/>
    <w:rsid w:val="00F03D3C"/>
    <w:rsid w:val="00F146D3"/>
    <w:rsid w:val="00F14E53"/>
    <w:rsid w:val="00F25ECA"/>
    <w:rsid w:val="00F60834"/>
    <w:rsid w:val="00F60C8D"/>
    <w:rsid w:val="00F9060C"/>
    <w:rsid w:val="00F9207A"/>
    <w:rsid w:val="00FA4DDD"/>
    <w:rsid w:val="00FA6E17"/>
    <w:rsid w:val="00FC4957"/>
    <w:rsid w:val="00FE251D"/>
    <w:rsid w:val="00FE5802"/>
    <w:rsid w:val="00FF31E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F0B80"/>
  <w15:docId w15:val="{95E1E92D-2376-4B95-B0E2-DCEF131D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78" w:lineRule="auto"/>
    </w:pPr>
    <w:rPr>
      <w:rFonts w:ascii="Aptos" w:eastAsia="Aptos" w:hAnsi="Aptos" w:cs="Aptos"/>
      <w:color w:val="000000"/>
      <w:kern w:val="2"/>
      <w:sz w:val="24"/>
      <w:szCs w:val="24"/>
      <w:u w:color="000000"/>
    </w:rPr>
  </w:style>
  <w:style w:type="paragraph" w:styleId="Titolo2">
    <w:name w:val="heading 2"/>
    <w:basedOn w:val="Normale"/>
    <w:next w:val="Normale"/>
    <w:link w:val="Titolo2Carattere"/>
    <w:uiPriority w:val="9"/>
    <w:semiHidden/>
    <w:unhideWhenUsed/>
    <w:qFormat/>
    <w:rsid w:val="003C3D3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olo4">
    <w:name w:val="heading 4"/>
    <w:basedOn w:val="Normale"/>
    <w:next w:val="Normale"/>
    <w:link w:val="Titolo4Carattere"/>
    <w:uiPriority w:val="9"/>
    <w:semiHidden/>
    <w:unhideWhenUsed/>
    <w:qFormat/>
    <w:rsid w:val="00F14E5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Arial" w:eastAsia="Arial" w:hAnsi="Arial" w:cs="Arial"/>
      <w:outline w:val="0"/>
      <w:color w:val="000000"/>
      <w:sz w:val="15"/>
      <w:szCs w:val="15"/>
      <w:u w:val="none" w:color="000000"/>
    </w:rPr>
  </w:style>
  <w:style w:type="paragraph" w:styleId="Pidipagina">
    <w:name w:val="footer"/>
    <w:pPr>
      <w:tabs>
        <w:tab w:val="center" w:pos="4819"/>
        <w:tab w:val="right" w:pos="9638"/>
      </w:tabs>
    </w:pPr>
    <w:rPr>
      <w:rFonts w:ascii="Aptos" w:eastAsia="Aptos" w:hAnsi="Aptos" w:cs="Aptos"/>
      <w:color w:val="000000"/>
      <w:kern w:val="2"/>
      <w:sz w:val="24"/>
      <w:szCs w:val="24"/>
      <w:u w:color="000000"/>
    </w:rPr>
  </w:style>
  <w:style w:type="character" w:styleId="Menzionenonrisolta">
    <w:name w:val="Unresolved Mention"/>
    <w:basedOn w:val="Carpredefinitoparagrafo"/>
    <w:uiPriority w:val="99"/>
    <w:semiHidden/>
    <w:unhideWhenUsed/>
    <w:rsid w:val="009A42B0"/>
    <w:rPr>
      <w:color w:val="605E5C"/>
      <w:shd w:val="clear" w:color="auto" w:fill="E1DFDD"/>
    </w:rPr>
  </w:style>
  <w:style w:type="paragraph" w:styleId="Revisione">
    <w:name w:val="Revision"/>
    <w:hidden/>
    <w:uiPriority w:val="99"/>
    <w:semiHidden/>
    <w:rsid w:val="00512FCC"/>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Aptos" w:hAnsi="Aptos" w:cs="Aptos"/>
      <w:color w:val="000000"/>
      <w:kern w:val="2"/>
      <w:sz w:val="24"/>
      <w:szCs w:val="24"/>
      <w:u w:color="000000"/>
    </w:rPr>
  </w:style>
  <w:style w:type="paragraph" w:styleId="NormaleWeb">
    <w:name w:val="Normal (Web)"/>
    <w:basedOn w:val="Normale"/>
    <w:uiPriority w:val="99"/>
    <w:unhideWhenUsed/>
    <w:rsid w:val="000D195A"/>
    <w:rPr>
      <w:rFonts w:ascii="Times New Roman" w:hAnsi="Times New Roman" w:cs="Times New Roman"/>
    </w:rPr>
  </w:style>
  <w:style w:type="character" w:customStyle="1" w:styleId="Titolo4Carattere">
    <w:name w:val="Titolo 4 Carattere"/>
    <w:basedOn w:val="Carpredefinitoparagrafo"/>
    <w:link w:val="Titolo4"/>
    <w:uiPriority w:val="9"/>
    <w:semiHidden/>
    <w:rsid w:val="00F14E53"/>
    <w:rPr>
      <w:rFonts w:asciiTheme="majorHAnsi" w:eastAsiaTheme="majorEastAsia" w:hAnsiTheme="majorHAnsi" w:cstheme="majorBidi"/>
      <w:i/>
      <w:iCs/>
      <w:color w:val="0F4761" w:themeColor="accent1" w:themeShade="BF"/>
      <w:kern w:val="2"/>
      <w:sz w:val="24"/>
      <w:szCs w:val="24"/>
      <w:u w:color="000000"/>
    </w:rPr>
  </w:style>
  <w:style w:type="table" w:customStyle="1" w:styleId="TableNormal1">
    <w:name w:val="Table Normal1"/>
    <w:rsid w:val="00876189"/>
    <w:tblPr>
      <w:tblInd w:w="0" w:type="dxa"/>
      <w:tblCellMar>
        <w:top w:w="0" w:type="dxa"/>
        <w:left w:w="0" w:type="dxa"/>
        <w:bottom w:w="0" w:type="dxa"/>
        <w:right w:w="0" w:type="dxa"/>
      </w:tblCellMar>
    </w:tblPr>
  </w:style>
  <w:style w:type="character" w:customStyle="1" w:styleId="Titolo2Carattere">
    <w:name w:val="Titolo 2 Carattere"/>
    <w:basedOn w:val="Carpredefinitoparagrafo"/>
    <w:link w:val="Titolo2"/>
    <w:uiPriority w:val="9"/>
    <w:semiHidden/>
    <w:rsid w:val="003C3D33"/>
    <w:rPr>
      <w:rFonts w:asciiTheme="majorHAnsi" w:eastAsiaTheme="majorEastAsia" w:hAnsiTheme="majorHAnsi" w:cstheme="majorBidi"/>
      <w:color w:val="0F4761" w:themeColor="accent1" w:themeShade="BF"/>
      <w:kern w:val="2"/>
      <w:sz w:val="26"/>
      <w:szCs w:val="2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2887">
      <w:bodyDiv w:val="1"/>
      <w:marLeft w:val="0"/>
      <w:marRight w:val="0"/>
      <w:marTop w:val="0"/>
      <w:marBottom w:val="0"/>
      <w:divBdr>
        <w:top w:val="none" w:sz="0" w:space="0" w:color="auto"/>
        <w:left w:val="none" w:sz="0" w:space="0" w:color="auto"/>
        <w:bottom w:val="none" w:sz="0" w:space="0" w:color="auto"/>
        <w:right w:val="none" w:sz="0" w:space="0" w:color="auto"/>
      </w:divBdr>
    </w:div>
    <w:div w:id="636883813">
      <w:bodyDiv w:val="1"/>
      <w:marLeft w:val="0"/>
      <w:marRight w:val="0"/>
      <w:marTop w:val="0"/>
      <w:marBottom w:val="0"/>
      <w:divBdr>
        <w:top w:val="none" w:sz="0" w:space="0" w:color="auto"/>
        <w:left w:val="none" w:sz="0" w:space="0" w:color="auto"/>
        <w:bottom w:val="none" w:sz="0" w:space="0" w:color="auto"/>
        <w:right w:val="none" w:sz="0" w:space="0" w:color="auto"/>
      </w:divBdr>
    </w:div>
    <w:div w:id="822967113">
      <w:bodyDiv w:val="1"/>
      <w:marLeft w:val="0"/>
      <w:marRight w:val="0"/>
      <w:marTop w:val="0"/>
      <w:marBottom w:val="0"/>
      <w:divBdr>
        <w:top w:val="none" w:sz="0" w:space="0" w:color="auto"/>
        <w:left w:val="none" w:sz="0" w:space="0" w:color="auto"/>
        <w:bottom w:val="none" w:sz="0" w:space="0" w:color="auto"/>
        <w:right w:val="none" w:sz="0" w:space="0" w:color="auto"/>
      </w:divBdr>
    </w:div>
    <w:div w:id="880630683">
      <w:bodyDiv w:val="1"/>
      <w:marLeft w:val="0"/>
      <w:marRight w:val="0"/>
      <w:marTop w:val="0"/>
      <w:marBottom w:val="0"/>
      <w:divBdr>
        <w:top w:val="none" w:sz="0" w:space="0" w:color="auto"/>
        <w:left w:val="none" w:sz="0" w:space="0" w:color="auto"/>
        <w:bottom w:val="none" w:sz="0" w:space="0" w:color="auto"/>
        <w:right w:val="none" w:sz="0" w:space="0" w:color="auto"/>
      </w:divBdr>
    </w:div>
    <w:div w:id="1295450804">
      <w:bodyDiv w:val="1"/>
      <w:marLeft w:val="0"/>
      <w:marRight w:val="0"/>
      <w:marTop w:val="0"/>
      <w:marBottom w:val="0"/>
      <w:divBdr>
        <w:top w:val="none" w:sz="0" w:space="0" w:color="auto"/>
        <w:left w:val="none" w:sz="0" w:space="0" w:color="auto"/>
        <w:bottom w:val="none" w:sz="0" w:space="0" w:color="auto"/>
        <w:right w:val="none" w:sz="0" w:space="0" w:color="auto"/>
      </w:divBdr>
    </w:div>
    <w:div w:id="1370760448">
      <w:bodyDiv w:val="1"/>
      <w:marLeft w:val="0"/>
      <w:marRight w:val="0"/>
      <w:marTop w:val="0"/>
      <w:marBottom w:val="0"/>
      <w:divBdr>
        <w:top w:val="none" w:sz="0" w:space="0" w:color="auto"/>
        <w:left w:val="none" w:sz="0" w:space="0" w:color="auto"/>
        <w:bottom w:val="none" w:sz="0" w:space="0" w:color="auto"/>
        <w:right w:val="none" w:sz="0" w:space="0" w:color="auto"/>
      </w:divBdr>
    </w:div>
    <w:div w:id="1452169562">
      <w:bodyDiv w:val="1"/>
      <w:marLeft w:val="0"/>
      <w:marRight w:val="0"/>
      <w:marTop w:val="0"/>
      <w:marBottom w:val="0"/>
      <w:divBdr>
        <w:top w:val="none" w:sz="0" w:space="0" w:color="auto"/>
        <w:left w:val="none" w:sz="0" w:space="0" w:color="auto"/>
        <w:bottom w:val="none" w:sz="0" w:space="0" w:color="auto"/>
        <w:right w:val="none" w:sz="0" w:space="0" w:color="auto"/>
      </w:divBdr>
    </w:div>
    <w:div w:id="1559199498">
      <w:bodyDiv w:val="1"/>
      <w:marLeft w:val="0"/>
      <w:marRight w:val="0"/>
      <w:marTop w:val="0"/>
      <w:marBottom w:val="0"/>
      <w:divBdr>
        <w:top w:val="none" w:sz="0" w:space="0" w:color="auto"/>
        <w:left w:val="none" w:sz="0" w:space="0" w:color="auto"/>
        <w:bottom w:val="none" w:sz="0" w:space="0" w:color="auto"/>
        <w:right w:val="none" w:sz="0" w:space="0" w:color="auto"/>
      </w:divBdr>
    </w:div>
    <w:div w:id="1574075329">
      <w:bodyDiv w:val="1"/>
      <w:marLeft w:val="0"/>
      <w:marRight w:val="0"/>
      <w:marTop w:val="0"/>
      <w:marBottom w:val="0"/>
      <w:divBdr>
        <w:top w:val="none" w:sz="0" w:space="0" w:color="auto"/>
        <w:left w:val="none" w:sz="0" w:space="0" w:color="auto"/>
        <w:bottom w:val="none" w:sz="0" w:space="0" w:color="auto"/>
        <w:right w:val="none" w:sz="0" w:space="0" w:color="auto"/>
      </w:divBdr>
    </w:div>
    <w:div w:id="1916477461">
      <w:bodyDiv w:val="1"/>
      <w:marLeft w:val="0"/>
      <w:marRight w:val="0"/>
      <w:marTop w:val="0"/>
      <w:marBottom w:val="0"/>
      <w:divBdr>
        <w:top w:val="none" w:sz="0" w:space="0" w:color="auto"/>
        <w:left w:val="none" w:sz="0" w:space="0" w:color="auto"/>
        <w:bottom w:val="none" w:sz="0" w:space="0" w:color="auto"/>
        <w:right w:val="none" w:sz="0" w:space="0" w:color="auto"/>
      </w:divBdr>
    </w:div>
    <w:div w:id="203430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tel:(380)%20783-3204"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faraci@bovindo.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e.caprino@bovindo.it"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drive.google.com/drive/folders/1CFx-nu0X5fyIBqjXoSSWQ8jhg-NiGyvg?usp=sharing"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1.png"/><Relationship Id="rId1" Type="http://schemas.openxmlformats.org/officeDocument/2006/relationships/image" Target="media/image2.jpeg"/><Relationship Id="rId5" Type="http://schemas.openxmlformats.org/officeDocument/2006/relationships/hyperlink" Target="mailto:pin-br@cultura.gov.org" TargetMode="External"/><Relationship Id="rId4" Type="http://schemas.openxmlformats.org/officeDocument/2006/relationships/hyperlink" Target="mailto:pin-br@cultura.gov.org"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8" ma:contentTypeDescription="Creare un nuovo documento." ma:contentTypeScope="" ma:versionID="38a3b00c9b68253a8ca4bf5eae90c48f">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8ccb006690dad88fc627e7df02388b8"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32C029-7613-4020-BB7D-04E164A3F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77C4F6-46E8-4930-96D0-CAFBD018A8A2}">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3.xml><?xml version="1.0" encoding="utf-8"?>
<ds:datastoreItem xmlns:ds="http://schemas.openxmlformats.org/officeDocument/2006/customXml" ds:itemID="{F8557C21-95E5-40F4-88C7-221B5A7CC0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1920</Words>
  <Characters>10949</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dc:description/>
  <cp:lastModifiedBy>Silvia Faraci</cp:lastModifiedBy>
  <cp:revision>10</cp:revision>
  <cp:lastPrinted>2026-10-05T15:16:00Z</cp:lastPrinted>
  <dcterms:created xsi:type="dcterms:W3CDTF">2026-10-04T20:35:00Z</dcterms:created>
  <dcterms:modified xsi:type="dcterms:W3CDTF">2026-10-05T21:16:00Z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y fmtid="{D5CDD505-2E9C-101B-9397-08002B2CF9AE}" pid="4" name="MSIP_Label_5f5fe31f-9de1-4167-a753-111c0df8115f_Enabled">
    <vt:lpwstr>true</vt:lpwstr>
  </property>
  <property fmtid="{D5CDD505-2E9C-101B-9397-08002B2CF9AE}" pid="5" name="MSIP_Label_5f5fe31f-9de1-4167-a753-111c0df8115f_SetDate">
    <vt:lpwstr>2025-04-29T08:43:09Z</vt:lpwstr>
  </property>
  <property fmtid="{D5CDD505-2E9C-101B-9397-08002B2CF9AE}" pid="6" name="MSIP_Label_5f5fe31f-9de1-4167-a753-111c0df8115f_Method">
    <vt:lpwstr>Standard</vt:lpwstr>
  </property>
  <property fmtid="{D5CDD505-2E9C-101B-9397-08002B2CF9AE}" pid="7" name="MSIP_Label_5f5fe31f-9de1-4167-a753-111c0df8115f_Name">
    <vt:lpwstr>5f5fe31f-9de1-4167-a753-111c0df8115f</vt:lpwstr>
  </property>
  <property fmtid="{D5CDD505-2E9C-101B-9397-08002B2CF9AE}" pid="8" name="MSIP_Label_5f5fe31f-9de1-4167-a753-111c0df8115f_SiteId">
    <vt:lpwstr>cc4baf00-15c9-48dd-9f59-88c98bde2be7</vt:lpwstr>
  </property>
  <property fmtid="{D5CDD505-2E9C-101B-9397-08002B2CF9AE}" pid="9" name="MSIP_Label_5f5fe31f-9de1-4167-a753-111c0df8115f_ActionId">
    <vt:lpwstr>9e5d4bd7-262d-49c7-a1db-1ff4f6176fff</vt:lpwstr>
  </property>
  <property fmtid="{D5CDD505-2E9C-101B-9397-08002B2CF9AE}" pid="10" name="MSIP_Label_5f5fe31f-9de1-4167-a753-111c0df8115f_ContentBits">
    <vt:lpwstr>0</vt:lpwstr>
  </property>
</Properties>
</file>